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tabs>
          <w:tab w:val="clear" w:pos="480"/>
        </w:tabs>
        <w:autoSpaceDE w:val="false"/>
        <w:ind w:left="-14" w:hanging="0"/>
        <w:jc w:val="left"/>
        <w:rPr/>
      </w:pPr>
      <w:r>
        <w:rPr>
          <w:rStyle w:val="Style14"/>
          <w:rFonts w:eastAsia="標楷體"/>
          <w:b/>
          <w:sz w:val="32"/>
          <w:szCs w:val="32"/>
        </w:rPr>
        <w:t>臺北市</w:t>
      </w:r>
      <w:r>
        <w:rPr>
          <w:rStyle w:val="Style14"/>
          <w:rFonts w:eastAsia="標楷體"/>
          <w:b/>
          <w:sz w:val="32"/>
          <w:szCs w:val="32"/>
        </w:rPr>
        <w:t>115</w:t>
      </w:r>
      <w:r>
        <w:rPr>
          <w:rStyle w:val="Style14"/>
          <w:rFonts w:eastAsia="標楷體"/>
          <w:b/>
          <w:sz w:val="32"/>
          <w:szCs w:val="32"/>
        </w:rPr>
        <w:t>年度區域性資賦優異教育方案實施計畫</w:t>
      </w:r>
    </w:p>
    <w:p>
      <w:pPr>
        <w:pStyle w:val="Style18"/>
        <w:snapToGrid w:val="false"/>
        <w:jc w:val="both"/>
        <w:rPr>
          <w:rFonts w:eastAsia="標楷體"/>
          <w:b/>
          <w:b/>
          <w:sz w:val="16"/>
          <w:szCs w:val="16"/>
        </w:rPr>
      </w:pPr>
      <w:r>
        <w:rPr>
          <w:rFonts w:eastAsia="標楷體"/>
          <w:b/>
          <w:sz w:val="16"/>
          <w:szCs w:val="16"/>
        </w:rPr>
      </w:r>
    </w:p>
    <w:p>
      <w:pPr>
        <w:pStyle w:val="Style18"/>
        <w:numPr>
          <w:ilvl w:val="0"/>
          <w:numId w:val="2"/>
        </w:numPr>
        <w:snapToGrid w:val="false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方案名稱：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CPS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創意列車（初階）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~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玩具進化論</w:t>
      </w:r>
    </w:p>
    <w:p>
      <w:pPr>
        <w:pStyle w:val="Style18"/>
        <w:tabs>
          <w:tab w:val="clear" w:pos="480"/>
        </w:tabs>
        <w:ind w:left="561" w:hanging="561"/>
        <w:jc w:val="both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貳、實施目的：</w:t>
      </w:r>
    </w:p>
    <w:p>
      <w:pPr>
        <w:sectPr>
          <w:type w:val="nextPage"/>
          <w:pgSz w:w="11906" w:h="16838"/>
          <w:pgMar w:left="851" w:right="851" w:header="0" w:top="709" w:footer="0" w:bottom="709" w:gutter="0"/>
          <w:pgNumType w:fmt="decimal"/>
          <w:formProt w:val="false"/>
          <w:textDirection w:val="lrTb"/>
          <w:docGrid w:type="lines" w:linePitch="600" w:charSpace="4294946815"/>
        </w:sectPr>
      </w:pPr>
    </w:p>
    <w:p>
      <w:pPr>
        <w:pStyle w:val="Style18"/>
        <w:numPr>
          <w:ilvl w:val="0"/>
          <w:numId w:val="3"/>
        </w:numPr>
        <w:tabs>
          <w:tab w:val="clear" w:pos="480"/>
          <w:tab w:val="left" w:pos="1078" w:leader="none"/>
        </w:tabs>
        <w:ind w:left="1077" w:hanging="0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熟悉並會運用創造思考策略</w:t>
      </w:r>
    </w:p>
    <w:p>
      <w:pPr>
        <w:pStyle w:val="Style18"/>
        <w:numPr>
          <w:ilvl w:val="0"/>
          <w:numId w:val="3"/>
        </w:numPr>
        <w:tabs>
          <w:tab w:val="clear" w:pos="480"/>
          <w:tab w:val="left" w:pos="1078" w:leader="none"/>
        </w:tabs>
        <w:ind w:left="1077" w:hanging="0"/>
        <w:jc w:val="both"/>
        <w:rPr/>
      </w:pPr>
      <w:r>
        <w:rPr>
          <w:rStyle w:val="Style14"/>
          <w:rFonts w:ascii="標楷體" w:hAnsi="標楷體" w:eastAsia="標楷體"/>
          <w:szCs w:val="28"/>
        </w:rPr>
        <w:t>透過生活問題解決培養創造力</w:t>
      </w:r>
    </w:p>
    <w:p>
      <w:pPr>
        <w:pStyle w:val="Style18"/>
        <w:numPr>
          <w:ilvl w:val="0"/>
          <w:numId w:val="3"/>
        </w:numPr>
        <w:tabs>
          <w:tab w:val="clear" w:pos="480"/>
          <w:tab w:val="left" w:pos="1078" w:leader="none"/>
        </w:tabs>
        <w:ind w:left="1077" w:hanging="0"/>
        <w:jc w:val="both"/>
        <w:rPr/>
      </w:pPr>
      <w:r>
        <w:rPr>
          <w:rStyle w:val="Style14"/>
          <w:rFonts w:ascii="標楷體" w:hAnsi="標楷體" w:eastAsia="標楷體"/>
          <w:szCs w:val="28"/>
        </w:rPr>
        <w:t>透過生活問題解決培養問題解決能力</w:t>
      </w:r>
    </w:p>
    <w:p>
      <w:pPr>
        <w:pStyle w:val="Style18"/>
        <w:numPr>
          <w:ilvl w:val="0"/>
          <w:numId w:val="3"/>
        </w:numPr>
        <w:tabs>
          <w:tab w:val="clear" w:pos="480"/>
          <w:tab w:val="left" w:pos="1078" w:leader="none"/>
        </w:tabs>
        <w:ind w:left="1077" w:hanging="0"/>
        <w:jc w:val="both"/>
        <w:rPr/>
      </w:pPr>
      <w:r>
        <w:rPr>
          <w:rStyle w:val="Style14"/>
          <w:rFonts w:ascii="標楷體" w:hAnsi="標楷體" w:eastAsia="標楷體"/>
          <w:szCs w:val="28"/>
        </w:rPr>
        <w:t>培養學員團隊默契</w:t>
      </w:r>
    </w:p>
    <w:p>
      <w:pPr>
        <w:sectPr>
          <w:type w:val="continuous"/>
          <w:pgSz w:w="11906" w:h="16838"/>
          <w:pgMar w:left="851" w:right="851" w:header="0" w:top="709" w:footer="0" w:bottom="709" w:gutter="0"/>
          <w:cols w:num="2" w:space="240" w:equalWidth="true" w:sep="false"/>
          <w:formProt w:val="false"/>
          <w:textDirection w:val="lrTb"/>
          <w:docGrid w:type="lines" w:linePitch="600" w:charSpace="4294946815"/>
        </w:sectPr>
      </w:pPr>
    </w:p>
    <w:p>
      <w:pPr>
        <w:pStyle w:val="Style18"/>
        <w:tabs>
          <w:tab w:val="clear" w:pos="480"/>
        </w:tabs>
        <w:ind w:left="561" w:hanging="561"/>
        <w:jc w:val="both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參、辦理單位：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一、主辦單位：臺北市政府教育局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二、承辦單位：臺北市中山區中山國民小學</w:t>
      </w:r>
    </w:p>
    <w:p>
      <w:pPr>
        <w:pStyle w:val="Style18"/>
        <w:tabs>
          <w:tab w:val="clear" w:pos="480"/>
        </w:tabs>
        <w:ind w:left="561" w:hanging="561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肆、參加對象：</w:t>
      </w:r>
      <w:r>
        <w:rPr>
          <w:rStyle w:val="Style14"/>
          <w:rFonts w:ascii="標楷體" w:hAnsi="標楷體" w:eastAsia="標楷體"/>
          <w:szCs w:val="28"/>
        </w:rPr>
        <w:t>台北市所屬各公私立國民小學</w:t>
      </w:r>
      <w:r>
        <w:rPr>
          <w:rStyle w:val="Style14"/>
          <w:rFonts w:ascii="標楷體" w:hAnsi="標楷體" w:eastAsia="標楷體"/>
          <w:b/>
          <w:szCs w:val="28"/>
          <w:u w:val="wave"/>
        </w:rPr>
        <w:t>目前</w:t>
      </w:r>
      <w:r>
        <w:rPr>
          <w:rStyle w:val="Style14"/>
          <w:rFonts w:ascii="標楷體" w:hAnsi="標楷體" w:eastAsia="標楷體"/>
          <w:szCs w:val="28"/>
          <w:u w:val="wave"/>
        </w:rPr>
        <w:t>就讀三</w:t>
      </w:r>
      <w:r>
        <w:rPr>
          <w:rStyle w:val="Style14"/>
          <w:rFonts w:eastAsia="標楷體" w:ascii="標楷體" w:hAnsi="標楷體"/>
          <w:szCs w:val="28"/>
          <w:u w:val="wave"/>
        </w:rPr>
        <w:t>~</w:t>
      </w:r>
      <w:r>
        <w:rPr>
          <w:rStyle w:val="Style14"/>
          <w:rFonts w:ascii="標楷體" w:hAnsi="標楷體" w:eastAsia="標楷體"/>
          <w:szCs w:val="28"/>
          <w:u w:val="wave"/>
        </w:rPr>
        <w:t>五年級學生</w:t>
      </w:r>
      <w:r>
        <w:rPr>
          <w:rStyle w:val="Style14"/>
          <w:rFonts w:ascii="標楷體" w:hAnsi="標楷體" w:eastAsia="標楷體"/>
          <w:szCs w:val="28"/>
        </w:rPr>
        <w:t>，共</w:t>
      </w:r>
      <w:r>
        <w:rPr>
          <w:rStyle w:val="Style14"/>
          <w:rFonts w:eastAsia="標楷體" w:ascii="標楷體" w:hAnsi="標楷體"/>
          <w:szCs w:val="28"/>
        </w:rPr>
        <w:t>30</w:t>
      </w:r>
      <w:r>
        <w:rPr>
          <w:rStyle w:val="Style14"/>
          <w:rFonts w:ascii="標楷體" w:hAnsi="標楷體" w:eastAsia="標楷體"/>
          <w:szCs w:val="28"/>
        </w:rPr>
        <w:t>名</w:t>
      </w:r>
    </w:p>
    <w:p>
      <w:pPr>
        <w:pStyle w:val="Style18"/>
        <w:tabs>
          <w:tab w:val="clear" w:pos="480"/>
        </w:tabs>
        <w:ind w:left="561" w:hanging="561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伍、辦理期程：</w:t>
      </w:r>
      <w:r>
        <w:rPr>
          <w:rStyle w:val="Style14"/>
          <w:rFonts w:eastAsia="標楷體" w:ascii="標楷體" w:hAnsi="標楷體"/>
          <w:szCs w:val="28"/>
        </w:rPr>
        <w:t>115</w:t>
      </w:r>
      <w:r>
        <w:rPr>
          <w:rStyle w:val="Style14"/>
          <w:rFonts w:ascii="標楷體" w:hAnsi="標楷體" w:eastAsia="標楷體"/>
          <w:szCs w:val="28"/>
        </w:rPr>
        <w:t>年</w:t>
      </w:r>
      <w:r>
        <w:rPr>
          <w:rStyle w:val="Style14"/>
          <w:rFonts w:eastAsia="標楷體" w:ascii="標楷體" w:hAnsi="標楷體"/>
          <w:szCs w:val="28"/>
        </w:rPr>
        <w:t>7</w:t>
      </w:r>
      <w:r>
        <w:rPr>
          <w:rStyle w:val="Style14"/>
          <w:rFonts w:ascii="標楷體" w:hAnsi="標楷體" w:eastAsia="標楷體"/>
          <w:szCs w:val="28"/>
        </w:rPr>
        <w:t>月</w:t>
      </w:r>
      <w:r>
        <w:rPr>
          <w:rStyle w:val="Style14"/>
          <w:rFonts w:eastAsia="標楷體" w:ascii="標楷體" w:hAnsi="標楷體"/>
          <w:szCs w:val="28"/>
        </w:rPr>
        <w:t>20~25</w:t>
      </w:r>
      <w:r>
        <w:rPr>
          <w:rStyle w:val="Style14"/>
          <w:rFonts w:ascii="標楷體" w:hAnsi="標楷體" w:eastAsia="標楷體"/>
          <w:szCs w:val="28"/>
        </w:rPr>
        <w:t>日（星期一</w:t>
      </w:r>
      <w:r>
        <w:rPr>
          <w:rStyle w:val="Style14"/>
          <w:rFonts w:eastAsia="標楷體" w:ascii="標楷體" w:hAnsi="標楷體"/>
          <w:szCs w:val="28"/>
        </w:rPr>
        <w:t>~</w:t>
      </w:r>
      <w:r>
        <w:rPr>
          <w:rStyle w:val="Style14"/>
          <w:rFonts w:ascii="標楷體" w:hAnsi="標楷體" w:eastAsia="標楷體"/>
          <w:szCs w:val="28"/>
        </w:rPr>
        <w:t>星期六），共</w:t>
      </w:r>
      <w:r>
        <w:rPr>
          <w:rStyle w:val="Style14"/>
          <w:rFonts w:eastAsia="標楷體" w:ascii="標楷體" w:hAnsi="標楷體"/>
          <w:szCs w:val="28"/>
        </w:rPr>
        <w:t>6</w:t>
      </w:r>
      <w:r>
        <w:rPr>
          <w:rStyle w:val="Style14"/>
          <w:rFonts w:ascii="標楷體" w:hAnsi="標楷體" w:eastAsia="標楷體"/>
          <w:szCs w:val="28"/>
        </w:rPr>
        <w:t>日</w:t>
      </w:r>
      <w:r>
        <w:rPr>
          <w:rStyle w:val="Style14"/>
          <w:rFonts w:eastAsia="標楷體" w:ascii="標楷體" w:hAnsi="標楷體"/>
          <w:szCs w:val="28"/>
        </w:rPr>
        <w:t>32</w:t>
      </w:r>
      <w:r>
        <w:rPr>
          <w:rStyle w:val="Style14"/>
          <w:rFonts w:ascii="標楷體" w:hAnsi="標楷體" w:eastAsia="標楷體"/>
          <w:szCs w:val="28"/>
        </w:rPr>
        <w:t>節課（</w:t>
      </w:r>
      <w:r>
        <w:rPr>
          <w:rStyle w:val="Style14"/>
          <w:rFonts w:eastAsia="標楷體" w:ascii="標楷體" w:hAnsi="標楷體"/>
          <w:szCs w:val="28"/>
        </w:rPr>
        <w:t>7/21</w:t>
      </w:r>
      <w:r>
        <w:rPr>
          <w:rStyle w:val="Style14"/>
          <w:rFonts w:ascii="標楷體" w:hAnsi="標楷體" w:eastAsia="標楷體"/>
          <w:szCs w:val="28"/>
        </w:rPr>
        <w:t>、</w:t>
      </w:r>
      <w:r>
        <w:rPr>
          <w:rStyle w:val="Style14"/>
          <w:rFonts w:eastAsia="標楷體" w:ascii="標楷體" w:hAnsi="標楷體"/>
          <w:szCs w:val="28"/>
        </w:rPr>
        <w:t>7/25</w:t>
      </w:r>
      <w:r>
        <w:rPr>
          <w:rStyle w:val="Style14"/>
          <w:rFonts w:ascii="標楷體" w:hAnsi="標楷體" w:eastAsia="標楷體"/>
          <w:szCs w:val="28"/>
        </w:rPr>
        <w:t>為全天課）</w:t>
      </w:r>
    </w:p>
    <w:p>
      <w:pPr>
        <w:pStyle w:val="Style18"/>
        <w:tabs>
          <w:tab w:val="clear" w:pos="480"/>
        </w:tabs>
        <w:ind w:left="561" w:hanging="561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陸、活動地點：</w:t>
      </w:r>
      <w:r>
        <w:rPr>
          <w:rStyle w:val="Style14"/>
          <w:rFonts w:ascii="標楷體" w:hAnsi="標楷體" w:eastAsia="標楷體"/>
          <w:szCs w:val="28"/>
        </w:rPr>
        <w:t>臺北市中山區中山國民小學（捷運中山國小站</w:t>
      </w:r>
      <w:r>
        <w:rPr>
          <w:rStyle w:val="Style14"/>
          <w:rFonts w:eastAsia="標楷體" w:ascii="標楷體" w:hAnsi="標楷體"/>
          <w:szCs w:val="28"/>
        </w:rPr>
        <w:t>1</w:t>
      </w:r>
      <w:r>
        <w:rPr>
          <w:rStyle w:val="Style14"/>
          <w:rFonts w:ascii="標楷體" w:hAnsi="標楷體" w:eastAsia="標楷體"/>
          <w:szCs w:val="28"/>
        </w:rPr>
        <w:t>、</w:t>
      </w:r>
      <w:r>
        <w:rPr>
          <w:rStyle w:val="Style14"/>
          <w:rFonts w:eastAsia="標楷體" w:ascii="標楷體" w:hAnsi="標楷體"/>
          <w:szCs w:val="28"/>
        </w:rPr>
        <w:t>4</w:t>
      </w:r>
      <w:r>
        <w:rPr>
          <w:rStyle w:val="Style14"/>
          <w:rFonts w:ascii="標楷體" w:hAnsi="標楷體" w:eastAsia="標楷體"/>
          <w:szCs w:val="28"/>
        </w:rPr>
        <w:t>號出口即到）</w:t>
      </w:r>
    </w:p>
    <w:p>
      <w:pPr>
        <w:pStyle w:val="Style18"/>
        <w:tabs>
          <w:tab w:val="clear" w:pos="480"/>
        </w:tabs>
        <w:ind w:left="561" w:hanging="561"/>
        <w:jc w:val="both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柒、報名方式：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一、報名時程：即日起開始報名，原校請於</w:t>
      </w:r>
      <w:r>
        <w:rPr>
          <w:rFonts w:eastAsia="標楷體" w:ascii="標楷體" w:hAnsi="標楷體"/>
          <w:szCs w:val="28"/>
        </w:rPr>
        <w:t>115</w:t>
      </w:r>
      <w:r>
        <w:rPr>
          <w:rFonts w:ascii="標楷體" w:hAnsi="標楷體" w:eastAsia="標楷體"/>
          <w:szCs w:val="28"/>
        </w:rPr>
        <w:t>年</w:t>
      </w:r>
      <w:r>
        <w:rPr>
          <w:rFonts w:eastAsia="標楷體" w:ascii="標楷體" w:hAnsi="標楷體"/>
          <w:szCs w:val="28"/>
        </w:rPr>
        <w:t>5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4</w:t>
      </w:r>
      <w:r>
        <w:rPr>
          <w:rFonts w:ascii="標楷體" w:hAnsi="標楷體" w:eastAsia="標楷體"/>
          <w:szCs w:val="28"/>
        </w:rPr>
        <w:t>日</w:t>
      </w:r>
      <w:r>
        <w:rPr>
          <w:rFonts w:eastAsia="標楷體" w:ascii="標楷體" w:hAnsi="標楷體"/>
          <w:szCs w:val="28"/>
        </w:rPr>
        <w:t>(</w:t>
      </w:r>
      <w:r>
        <w:rPr>
          <w:rFonts w:ascii="標楷體" w:hAnsi="標楷體" w:eastAsia="標楷體"/>
          <w:szCs w:val="28"/>
        </w:rPr>
        <w:t>一</w:t>
      </w:r>
      <w:r>
        <w:rPr>
          <w:rFonts w:eastAsia="標楷體" w:ascii="標楷體" w:hAnsi="標楷體"/>
          <w:szCs w:val="28"/>
        </w:rPr>
        <w:t>)</w:t>
      </w:r>
      <w:r>
        <w:rPr>
          <w:rFonts w:ascii="標楷體" w:hAnsi="標楷體" w:eastAsia="標楷體"/>
          <w:szCs w:val="28"/>
        </w:rPr>
        <w:t>下午四時截止報名，承辦學校之截止收件時間為</w:t>
      </w:r>
      <w:r>
        <w:rPr>
          <w:rFonts w:eastAsia="標楷體" w:ascii="標楷體" w:hAnsi="標楷體"/>
          <w:szCs w:val="28"/>
        </w:rPr>
        <w:t>115</w:t>
      </w:r>
      <w:r>
        <w:rPr>
          <w:rFonts w:ascii="標楷體" w:hAnsi="標楷體" w:eastAsia="標楷體"/>
          <w:szCs w:val="28"/>
        </w:rPr>
        <w:t>年</w:t>
      </w:r>
      <w:r>
        <w:rPr>
          <w:rFonts w:eastAsia="標楷體" w:ascii="標楷體" w:hAnsi="標楷體"/>
          <w:szCs w:val="28"/>
        </w:rPr>
        <w:t>5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6</w:t>
      </w:r>
      <w:r>
        <w:rPr>
          <w:rFonts w:ascii="標楷體" w:hAnsi="標楷體" w:eastAsia="標楷體"/>
          <w:szCs w:val="28"/>
        </w:rPr>
        <w:t>日</w:t>
      </w:r>
      <w:r>
        <w:rPr>
          <w:rFonts w:eastAsia="標楷體" w:ascii="標楷體" w:hAnsi="標楷體"/>
          <w:szCs w:val="28"/>
        </w:rPr>
        <w:t>(</w:t>
      </w:r>
      <w:r>
        <w:rPr>
          <w:rFonts w:ascii="標楷體" w:hAnsi="標楷體" w:eastAsia="標楷體"/>
          <w:szCs w:val="28"/>
        </w:rPr>
        <w:t>三</w:t>
      </w:r>
      <w:r>
        <w:rPr>
          <w:rFonts w:eastAsia="標楷體" w:ascii="標楷體" w:hAnsi="標楷體"/>
          <w:szCs w:val="28"/>
        </w:rPr>
        <w:t>)</w:t>
      </w:r>
      <w:r>
        <w:rPr>
          <w:rFonts w:ascii="標楷體" w:hAnsi="標楷體" w:eastAsia="標楷體"/>
          <w:szCs w:val="28"/>
        </w:rPr>
        <w:t>下午四時止，敬請於期限內完成報名。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二、採學校推薦統一報名：報名表</w:t>
      </w:r>
      <w:r>
        <w:rPr>
          <w:rFonts w:eastAsia="標楷體" w:ascii="標楷體" w:hAnsi="標楷體"/>
          <w:szCs w:val="28"/>
        </w:rPr>
        <w:t>(</w:t>
      </w:r>
      <w:r>
        <w:rPr>
          <w:rFonts w:ascii="標楷體" w:hAnsi="標楷體" w:eastAsia="標楷體"/>
          <w:szCs w:val="28"/>
        </w:rPr>
        <w:t>詳見附件二</w:t>
      </w:r>
      <w:r>
        <w:rPr>
          <w:rFonts w:eastAsia="標楷體" w:ascii="標楷體" w:hAnsi="標楷體"/>
          <w:szCs w:val="28"/>
        </w:rPr>
        <w:t>)</w:t>
      </w:r>
      <w:r>
        <w:rPr>
          <w:rFonts w:ascii="標楷體" w:hAnsi="標楷體" w:eastAsia="標楷體"/>
          <w:szCs w:val="28"/>
        </w:rPr>
        <w:t>與審核表</w:t>
      </w:r>
      <w:r>
        <w:rPr>
          <w:rFonts w:eastAsia="標楷體" w:ascii="標楷體" w:hAnsi="標楷體"/>
          <w:szCs w:val="28"/>
        </w:rPr>
        <w:t>(</w:t>
      </w:r>
      <w:r>
        <w:rPr>
          <w:rFonts w:ascii="標楷體" w:hAnsi="標楷體" w:eastAsia="標楷體"/>
          <w:szCs w:val="28"/>
        </w:rPr>
        <w:t>詳見附件三</w:t>
      </w:r>
      <w:r>
        <w:rPr>
          <w:rFonts w:eastAsia="標楷體" w:ascii="標楷體" w:hAnsi="標楷體"/>
          <w:szCs w:val="28"/>
        </w:rPr>
        <w:t>)</w:t>
      </w:r>
      <w:r>
        <w:rPr>
          <w:rFonts w:ascii="標楷體" w:hAnsi="標楷體" w:eastAsia="標楷體"/>
          <w:szCs w:val="28"/>
        </w:rPr>
        <w:t>填寫完畢後一起裝訂，於報名日期前以聯絡箱</w:t>
      </w:r>
      <w:r>
        <w:rPr>
          <w:rFonts w:eastAsia="標楷體" w:ascii="標楷體" w:hAnsi="標楷體"/>
          <w:szCs w:val="28"/>
        </w:rPr>
        <w:t>(030)</w:t>
      </w:r>
      <w:r>
        <w:rPr>
          <w:rFonts w:ascii="標楷體" w:hAnsi="標楷體" w:eastAsia="標楷體"/>
          <w:szCs w:val="28"/>
        </w:rPr>
        <w:t>送達中山國民小學輔導室特教組。</w:t>
      </w:r>
    </w:p>
    <w:p>
      <w:pPr>
        <w:pStyle w:val="Style18"/>
        <w:tabs>
          <w:tab w:val="clear" w:pos="480"/>
        </w:tabs>
        <w:ind w:left="561" w:hanging="561"/>
        <w:jc w:val="both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捌、甄選標準：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一、錄取標準：</w:t>
      </w:r>
    </w:p>
    <w:p>
      <w:pPr>
        <w:pStyle w:val="Style18"/>
        <w:tabs>
          <w:tab w:val="clear" w:pos="480"/>
        </w:tabs>
        <w:ind w:left="707" w:hanging="1"/>
        <w:jc w:val="both"/>
        <w:rPr/>
      </w:pPr>
      <w:r>
        <w:rPr>
          <w:rStyle w:val="Style14"/>
          <w:rFonts w:eastAsia="標楷體"/>
        </w:rPr>
        <w:t>錄取人數以每校平均分配為原則，由主辦學校組成審查小組，依報名表（附件二）及審核表（附件三）進行評選，評選內容建議由</w:t>
      </w:r>
      <w:r>
        <w:rPr>
          <w:rStyle w:val="Style14"/>
          <w:rFonts w:eastAsia="標楷體"/>
          <w:u w:val="single"/>
        </w:rPr>
        <w:t>學生親自填寫</w:t>
      </w:r>
      <w:r>
        <w:rPr>
          <w:rStyle w:val="Style14"/>
          <w:rFonts w:eastAsia="標楷體"/>
        </w:rPr>
        <w:t>為佳。</w:t>
      </w:r>
    </w:p>
    <w:p>
      <w:pPr>
        <w:pStyle w:val="Style18"/>
        <w:tabs>
          <w:tab w:val="clear" w:pos="480"/>
        </w:tabs>
        <w:ind w:left="708" w:hanging="396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二、錄取公告：錄取名單將於</w:t>
      </w:r>
      <w:r>
        <w:rPr>
          <w:rFonts w:eastAsia="標楷體" w:ascii="標楷體" w:hAnsi="標楷體"/>
          <w:szCs w:val="28"/>
        </w:rPr>
        <w:t>115</w:t>
      </w:r>
      <w:r>
        <w:rPr>
          <w:rFonts w:ascii="標楷體" w:hAnsi="標楷體" w:eastAsia="標楷體"/>
          <w:szCs w:val="28"/>
        </w:rPr>
        <w:t>年</w:t>
      </w:r>
      <w:r>
        <w:rPr>
          <w:rFonts w:eastAsia="標楷體" w:ascii="標楷體" w:hAnsi="標楷體"/>
          <w:szCs w:val="28"/>
        </w:rPr>
        <w:t>5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11</w:t>
      </w:r>
      <w:r>
        <w:rPr>
          <w:rFonts w:ascii="標楷體" w:hAnsi="標楷體" w:eastAsia="標楷體"/>
          <w:szCs w:val="28"/>
        </w:rPr>
        <w:t>日（一）公佈於中山國小網站最新消息，錄取學生將於</w:t>
      </w:r>
      <w:r>
        <w:rPr>
          <w:rFonts w:eastAsia="標楷體" w:ascii="標楷體" w:hAnsi="標楷體"/>
          <w:szCs w:val="28"/>
        </w:rPr>
        <w:t>5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15</w:t>
      </w:r>
      <w:r>
        <w:rPr>
          <w:rFonts w:ascii="標楷體" w:hAnsi="標楷體" w:eastAsia="標楷體"/>
          <w:szCs w:val="28"/>
        </w:rPr>
        <w:t>日（五）前收到「錄取通知」。</w:t>
      </w:r>
    </w:p>
    <w:p>
      <w:pPr>
        <w:pStyle w:val="Style18"/>
        <w:tabs>
          <w:tab w:val="clear" w:pos="480"/>
        </w:tabs>
        <w:ind w:left="708" w:hanging="396"/>
        <w:jc w:val="both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</w:r>
    </w:p>
    <w:p>
      <w:pPr>
        <w:pStyle w:val="Style18"/>
        <w:tabs>
          <w:tab w:val="clear" w:pos="480"/>
        </w:tabs>
        <w:ind w:left="561" w:hanging="561"/>
        <w:jc w:val="both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玖、辦理經費：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一、臺北市政府教育局</w:t>
      </w:r>
      <w:r>
        <w:rPr>
          <w:rFonts w:eastAsia="標楷體" w:ascii="標楷體" w:hAnsi="標楷體"/>
          <w:szCs w:val="28"/>
        </w:rPr>
        <w:t>115</w:t>
      </w:r>
      <w:r>
        <w:rPr>
          <w:rFonts w:ascii="標楷體" w:hAnsi="標楷體" w:eastAsia="標楷體"/>
          <w:szCs w:val="28"/>
        </w:rPr>
        <w:t>年度區域性資賦優異教育方案補助經費。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二、學生收費：每人</w:t>
      </w:r>
      <w:r>
        <w:rPr>
          <w:rFonts w:eastAsia="標楷體" w:ascii="標楷體" w:hAnsi="標楷體"/>
          <w:szCs w:val="28"/>
        </w:rPr>
        <w:t>650</w:t>
      </w:r>
      <w:r>
        <w:rPr>
          <w:rFonts w:ascii="標楷體" w:hAnsi="標楷體" w:eastAsia="標楷體"/>
          <w:szCs w:val="28"/>
        </w:rPr>
        <w:t>元（含二日午餐費用）。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三、繳費方式：確定錄取後，請於</w:t>
      </w:r>
      <w:r>
        <w:rPr>
          <w:rFonts w:eastAsia="標楷體" w:ascii="標楷體" w:hAnsi="標楷體"/>
          <w:szCs w:val="28"/>
        </w:rPr>
        <w:t>115</w:t>
      </w:r>
      <w:r>
        <w:rPr>
          <w:rFonts w:ascii="標楷體" w:hAnsi="標楷體" w:eastAsia="標楷體"/>
          <w:szCs w:val="28"/>
        </w:rPr>
        <w:t>年</w:t>
      </w:r>
      <w:r>
        <w:rPr>
          <w:rFonts w:eastAsia="標楷體" w:ascii="標楷體" w:hAnsi="標楷體"/>
          <w:szCs w:val="28"/>
        </w:rPr>
        <w:t>5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26</w:t>
      </w:r>
      <w:r>
        <w:rPr>
          <w:rFonts w:ascii="標楷體" w:hAnsi="標楷體" w:eastAsia="標楷體"/>
          <w:szCs w:val="28"/>
        </w:rPr>
        <w:t>日</w:t>
      </w:r>
      <w:r>
        <w:rPr>
          <w:rFonts w:eastAsia="標楷體" w:ascii="標楷體" w:hAnsi="標楷體"/>
          <w:szCs w:val="28"/>
        </w:rPr>
        <w:t>~115</w:t>
      </w:r>
      <w:r>
        <w:rPr>
          <w:rFonts w:ascii="標楷體" w:hAnsi="標楷體" w:eastAsia="標楷體"/>
          <w:szCs w:val="28"/>
        </w:rPr>
        <w:t>年</w:t>
      </w:r>
      <w:r>
        <w:rPr>
          <w:rFonts w:eastAsia="標楷體" w:ascii="標楷體" w:hAnsi="標楷體"/>
          <w:szCs w:val="28"/>
        </w:rPr>
        <w:t>6</w:t>
      </w:r>
      <w:r>
        <w:rPr>
          <w:rFonts w:ascii="標楷體" w:hAnsi="標楷體" w:eastAsia="標楷體"/>
          <w:szCs w:val="28"/>
        </w:rPr>
        <w:t>月</w:t>
      </w:r>
      <w:r>
        <w:rPr>
          <w:rFonts w:eastAsia="標楷體" w:ascii="標楷體" w:hAnsi="標楷體"/>
          <w:szCs w:val="28"/>
        </w:rPr>
        <w:t>1</w:t>
      </w:r>
      <w:r>
        <w:rPr>
          <w:rFonts w:ascii="標楷體" w:hAnsi="標楷體" w:eastAsia="標楷體"/>
          <w:szCs w:val="28"/>
        </w:rPr>
        <w:t>日期間繳費完畢（校園線上系統繳費，若無則憑繳費單繳費），逾時由備取學生遞補。</w:t>
      </w:r>
    </w:p>
    <w:p>
      <w:pPr>
        <w:pStyle w:val="Style18"/>
        <w:tabs>
          <w:tab w:val="clear" w:pos="480"/>
        </w:tabs>
        <w:ind w:left="872" w:hanging="514"/>
        <w:jc w:val="both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</w:r>
    </w:p>
    <w:p>
      <w:pPr>
        <w:pStyle w:val="Style18"/>
        <w:tabs>
          <w:tab w:val="clear" w:pos="480"/>
        </w:tabs>
        <w:ind w:left="283" w:hanging="283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拾、學員獎勵方式：</w:t>
      </w:r>
      <w:r>
        <w:rPr>
          <w:rStyle w:val="Style14"/>
          <w:rFonts w:ascii="標楷體" w:hAnsi="標楷體" w:eastAsia="標楷體"/>
          <w:szCs w:val="28"/>
        </w:rPr>
        <w:t>活動期間全勤，頒予初階證書，無初階證書者恕無法繼續報名後續進階課程；上課表現優良者，頒發獎品以資鼓勵。</w:t>
      </w:r>
      <w:r>
        <w:br w:type="page"/>
      </w:r>
    </w:p>
    <w:p>
      <w:pPr>
        <w:pStyle w:val="Style18"/>
        <w:tabs>
          <w:tab w:val="clear" w:pos="480"/>
        </w:tabs>
        <w:ind w:left="242" w:hanging="242"/>
        <w:jc w:val="both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拾壹、備註：</w:t>
      </w:r>
    </w:p>
    <w:p>
      <w:pPr>
        <w:pStyle w:val="Style18"/>
        <w:numPr>
          <w:ilvl w:val="0"/>
          <w:numId w:val="4"/>
        </w:numPr>
        <w:tabs>
          <w:tab w:val="clear" w:pos="480"/>
        </w:tabs>
        <w:ind w:left="800" w:hanging="0"/>
        <w:jc w:val="both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本年度舉辦課程為初階方案，明年將辦理進階方案，錄取原則為獲得初階證書，並於課程中表現良好學員，請參與學員把握機會。</w:t>
      </w:r>
    </w:p>
    <w:p>
      <w:pPr>
        <w:pStyle w:val="Style18"/>
        <w:tabs>
          <w:tab w:val="clear" w:pos="480"/>
        </w:tabs>
        <w:ind w:left="800" w:hanging="0"/>
        <w:jc w:val="both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numPr>
          <w:ilvl w:val="0"/>
          <w:numId w:val="4"/>
        </w:numPr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成果發表當日（</w:t>
      </w:r>
      <w:r>
        <w:rPr>
          <w:rFonts w:eastAsia="標楷體" w:ascii="標楷體" w:hAnsi="標楷體"/>
          <w:szCs w:val="28"/>
        </w:rPr>
        <w:t>7/25</w:t>
      </w:r>
      <w:r>
        <w:rPr>
          <w:rFonts w:ascii="標楷體" w:hAnsi="標楷體" w:eastAsia="標楷體"/>
          <w:szCs w:val="28"/>
        </w:rPr>
        <w:t>）若遇行政機關宣布放假（如颱風假等），則順延一天辦理（改至</w:t>
      </w:r>
      <w:r>
        <w:rPr>
          <w:rFonts w:eastAsia="標楷體" w:ascii="標楷體" w:hAnsi="標楷體"/>
          <w:szCs w:val="28"/>
        </w:rPr>
        <w:t>7/26</w:t>
      </w:r>
      <w:r>
        <w:rPr>
          <w:rFonts w:ascii="標楷體" w:hAnsi="標楷體" w:eastAsia="標楷體"/>
          <w:szCs w:val="28"/>
        </w:rPr>
        <w:t>），請家長優先保留此時段；其他活動期間若行政機關宣布放假，則依比例辦理退費。</w:t>
      </w:r>
    </w:p>
    <w:p>
      <w:pPr>
        <w:pStyle w:val="Style18"/>
        <w:tabs>
          <w:tab w:val="clear" w:pos="480"/>
        </w:tabs>
        <w:ind w:left="801" w:hanging="0"/>
        <w:jc w:val="both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</w:r>
    </w:p>
    <w:p>
      <w:pPr>
        <w:pStyle w:val="Style18"/>
        <w:numPr>
          <w:ilvl w:val="0"/>
          <w:numId w:val="4"/>
        </w:numPr>
        <w:jc w:val="both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已繳費之學生若因個人因素申請退費，則依臺北市國民小學課外社團作業要點申請退費。</w:t>
      </w:r>
    </w:p>
    <w:p>
      <w:pPr>
        <w:pStyle w:val="Style18"/>
        <w:jc w:val="both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</w:r>
      <w:r>
        <w:br w:type="page"/>
      </w:r>
    </w:p>
    <w:p>
      <w:pPr>
        <w:pStyle w:val="Style18"/>
        <w:tabs>
          <w:tab w:val="clear" w:pos="480"/>
        </w:tabs>
        <w:ind w:left="1016" w:hanging="1016"/>
        <w:jc w:val="both"/>
        <w:rPr/>
      </w:pPr>
      <w:r>
        <w:rPr>
          <w:rStyle w:val="Style14"/>
          <w:rFonts w:eastAsia="標楷體"/>
          <w:color w:val="000000"/>
        </w:rPr>
        <w:t>附件一：</w:t>
      </w:r>
      <w:r>
        <w:rPr>
          <w:rStyle w:val="Style14"/>
          <w:rFonts w:eastAsia="標楷體"/>
          <w:bCs/>
          <w:color w:val="000000"/>
          <w:sz w:val="28"/>
          <w:szCs w:val="28"/>
        </w:rPr>
        <w:t>臺北市中山國小區域性資優方案</w:t>
      </w:r>
      <w:r>
        <w:rPr>
          <w:rStyle w:val="Style14"/>
          <w:rFonts w:eastAsia="標楷體"/>
          <w:bCs/>
          <w:color w:val="000000"/>
          <w:sz w:val="28"/>
          <w:szCs w:val="28"/>
        </w:rPr>
        <w:t>~CPS</w:t>
      </w:r>
      <w:r>
        <w:rPr>
          <w:rStyle w:val="Style14"/>
          <w:rFonts w:eastAsia="標楷體"/>
          <w:bCs/>
          <w:color w:val="000000"/>
          <w:sz w:val="28"/>
          <w:szCs w:val="28"/>
        </w:rPr>
        <w:t>創意列車</w:t>
      </w:r>
      <w:r>
        <w:rPr>
          <w:rStyle w:val="Style14"/>
          <w:rFonts w:eastAsia="標楷體"/>
          <w:b/>
          <w:bCs/>
          <w:color w:val="000000"/>
          <w:sz w:val="28"/>
          <w:szCs w:val="28"/>
        </w:rPr>
        <w:t>初階</w:t>
      </w:r>
      <w:r>
        <w:rPr>
          <w:rStyle w:val="Style14"/>
          <w:rFonts w:eastAsia="標楷體"/>
          <w:bCs/>
          <w:color w:val="000000"/>
          <w:sz w:val="28"/>
          <w:szCs w:val="28"/>
        </w:rPr>
        <w:t>課程大綱</w:t>
      </w:r>
    </w:p>
    <w:p>
      <w:pPr>
        <w:pStyle w:val="Style18"/>
        <w:snapToGrid w:val="false"/>
        <w:spacing w:lineRule="atLeast" w:line="240"/>
        <w:jc w:val="center"/>
        <w:rPr>
          <w:rFonts w:ascii="Book Antiqua" w:hAnsi="Book Antiqua" w:eastAsia="標楷體"/>
          <w:b/>
          <w:b/>
          <w:bCs/>
          <w:color w:val="000000"/>
          <w:sz w:val="32"/>
          <w:szCs w:val="28"/>
        </w:rPr>
      </w:pPr>
      <w:r>
        <w:rPr>
          <w:rFonts w:ascii="Book Antiqua" w:hAnsi="Book Antiqua" w:eastAsia="標楷體"/>
          <w:b/>
          <w:bCs/>
          <w:color w:val="000000"/>
          <w:sz w:val="32"/>
          <w:szCs w:val="28"/>
        </w:rPr>
        <w:t>玩具進化論</w:t>
      </w:r>
    </w:p>
    <w:p>
      <w:pPr>
        <w:pStyle w:val="Style18"/>
        <w:snapToGrid w:val="false"/>
        <w:spacing w:lineRule="exact" w:line="160"/>
        <w:jc w:val="center"/>
        <w:rPr>
          <w:rFonts w:ascii="Book Antiqua" w:hAnsi="Book Antiqua" w:eastAsia="標楷體"/>
          <w:b/>
          <w:b/>
          <w:bCs/>
          <w:color w:val="000000"/>
          <w:sz w:val="32"/>
          <w:szCs w:val="28"/>
        </w:rPr>
      </w:pPr>
      <w:r>
        <w:rPr>
          <w:rFonts w:eastAsia="標楷體" w:ascii="Book Antiqua" w:hAnsi="Book Antiqua"/>
          <w:b/>
          <w:bCs/>
          <w:color w:val="000000"/>
          <w:sz w:val="32"/>
          <w:szCs w:val="28"/>
        </w:rPr>
      </w:r>
    </w:p>
    <w:p>
      <w:pPr>
        <w:pStyle w:val="Style18"/>
        <w:tabs>
          <w:tab w:val="clear" w:pos="480"/>
        </w:tabs>
        <w:snapToGrid w:val="false"/>
        <w:spacing w:lineRule="atLeast" w:line="200"/>
        <w:ind w:left="708" w:hanging="708"/>
        <w:jc w:val="both"/>
        <w:rPr>
          <w:rFonts w:ascii="標楷體" w:hAnsi="標楷體" w:eastAsia="標楷體"/>
          <w:bCs/>
          <w:color w:val="000000"/>
          <w:szCs w:val="28"/>
        </w:rPr>
      </w:pPr>
      <w:r>
        <w:rPr>
          <w:rFonts w:ascii="標楷體" w:hAnsi="標楷體" w:eastAsia="標楷體"/>
          <w:bCs/>
          <w:color w:val="000000"/>
          <w:szCs w:val="28"/>
        </w:rPr>
        <w:t>簡介：本課程運用創造性問題解決模式（</w:t>
      </w:r>
      <w:r>
        <w:rPr>
          <w:rFonts w:eastAsia="標楷體" w:ascii="標楷體" w:hAnsi="標楷體"/>
          <w:bCs/>
          <w:color w:val="000000"/>
          <w:szCs w:val="28"/>
        </w:rPr>
        <w:t>CPS</w:t>
      </w:r>
      <w:r>
        <w:rPr>
          <w:rFonts w:ascii="標楷體" w:hAnsi="標楷體" w:eastAsia="標楷體"/>
          <w:bCs/>
          <w:color w:val="000000"/>
          <w:szCs w:val="28"/>
        </w:rPr>
        <w:t>）設計而成，</w:t>
      </w:r>
      <w:r>
        <w:rPr>
          <w:rFonts w:eastAsia="標楷體" w:ascii="標楷體" w:hAnsi="標楷體"/>
          <w:bCs/>
          <w:color w:val="000000"/>
          <w:szCs w:val="28"/>
        </w:rPr>
        <w:t>CPS</w:t>
      </w:r>
      <w:r>
        <w:rPr>
          <w:rFonts w:ascii="標楷體" w:hAnsi="標楷體" w:eastAsia="標楷體"/>
          <w:bCs/>
          <w:color w:val="000000"/>
          <w:szCs w:val="28"/>
        </w:rPr>
        <w:t>經國內外研究證實可有效提升學生的創造力及問題解決能力。課程中由學生決定學習方向，因此無法具體描述課程內容…由學生透過小組大量討論後形成創意想法，並執行創意行動！！</w:t>
      </w:r>
    </w:p>
    <w:p>
      <w:pPr>
        <w:pStyle w:val="Style18"/>
        <w:tabs>
          <w:tab w:val="clear" w:pos="480"/>
        </w:tabs>
        <w:snapToGrid w:val="false"/>
        <w:spacing w:lineRule="atLeast" w:line="200"/>
        <w:ind w:left="1092" w:hanging="1092"/>
        <w:jc w:val="both"/>
        <w:rPr>
          <w:rFonts w:ascii="標楷體" w:hAnsi="標楷體" w:eastAsia="標楷體"/>
          <w:bCs/>
          <w:color w:val="000000"/>
          <w:szCs w:val="28"/>
        </w:rPr>
      </w:pPr>
      <w:r>
        <w:rPr>
          <w:rFonts w:ascii="標楷體" w:hAnsi="標楷體" w:eastAsia="標楷體"/>
          <w:bCs/>
          <w:color w:val="000000"/>
          <w:szCs w:val="28"/>
        </w:rPr>
        <w:t>學員心得：「太棒的課程了！我好像置身在美國的學習！」、「沒有標準答案的課程，我非常喜歡！」、「老師說只要我有答案就是好答案，真是一點也沒錯！」、「我從來沒有這麼累過，因為</w:t>
      </w:r>
      <w:r>
        <w:rPr>
          <w:rFonts w:eastAsia="標楷體" w:ascii="標楷體" w:hAnsi="標楷體"/>
          <w:bCs/>
          <w:color w:val="000000"/>
          <w:szCs w:val="28"/>
        </w:rPr>
        <w:t>CPS</w:t>
      </w:r>
      <w:r>
        <w:rPr>
          <w:rFonts w:ascii="標楷體" w:hAnsi="標楷體" w:eastAsia="標楷體"/>
          <w:bCs/>
          <w:color w:val="000000"/>
          <w:szCs w:val="28"/>
        </w:rPr>
        <w:t>讓我從第一秒鐘到最後一秒鐘都在動頭腦…」…</w:t>
      </w:r>
    </w:p>
    <w:p>
      <w:pPr>
        <w:pStyle w:val="Style18"/>
        <w:snapToGrid w:val="false"/>
        <w:spacing w:lineRule="atLeast" w:line="200"/>
        <w:jc w:val="both"/>
        <w:rPr>
          <w:rFonts w:ascii="標楷體" w:hAnsi="標楷體" w:eastAsia="標楷體"/>
          <w:bCs/>
          <w:color w:val="000000"/>
          <w:szCs w:val="28"/>
        </w:rPr>
      </w:pPr>
      <w:r>
        <w:rPr>
          <w:rFonts w:ascii="標楷體" w:hAnsi="標楷體" w:eastAsia="標楷體"/>
          <w:bCs/>
          <w:color w:val="000000"/>
          <w:szCs w:val="28"/>
        </w:rPr>
        <w:t>家長心得：「值得一辦再辦的</w:t>
      </w:r>
      <w:r>
        <w:rPr>
          <w:rFonts w:eastAsia="標楷體" w:ascii="標楷體" w:hAnsi="標楷體"/>
          <w:bCs/>
          <w:color w:val="000000"/>
          <w:szCs w:val="28"/>
        </w:rPr>
        <w:t>CPS~</w:t>
      </w:r>
      <w:r>
        <w:rPr>
          <w:rFonts w:ascii="標楷體" w:hAnsi="標楷體" w:eastAsia="標楷體"/>
          <w:bCs/>
          <w:color w:val="000000"/>
          <w:szCs w:val="28"/>
        </w:rPr>
        <w:t>」「感謝老師的用心，課程、網站、發表會都很經典！」…</w:t>
      </w:r>
    </w:p>
    <w:tbl>
      <w:tblPr>
        <w:tblW w:w="99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40"/>
        <w:gridCol w:w="1260"/>
        <w:gridCol w:w="6184"/>
        <w:gridCol w:w="1277"/>
      </w:tblGrid>
      <w:tr>
        <w:trPr>
          <w:trHeight w:val="360" w:hRule="atLeast"/>
          <w:cantSplit w:val="true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0" w:right="-120" w:hanging="9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節數</w:t>
            </w:r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授課教師</w:t>
            </w:r>
          </w:p>
        </w:tc>
      </w:tr>
      <w:tr>
        <w:trPr>
          <w:trHeight w:val="330" w:hRule="atLeast"/>
          <w:cantSplit w:val="true"/>
        </w:trPr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36" w:hanging="72"/>
              <w:jc w:val="center"/>
              <w:rPr/>
            </w:pPr>
            <w:r>
              <w:rPr>
                <w:rStyle w:val="Style14"/>
                <w:rFonts w:eastAsia="標楷體"/>
              </w:rPr>
              <w:t>內容</w:t>
            </w:r>
            <w:r>
              <w:rPr>
                <w:rStyle w:val="Style14"/>
                <w:rFonts w:eastAsia="標楷體"/>
                <w:sz w:val="16"/>
                <w:szCs w:val="16"/>
              </w:rPr>
              <w:t>（任務：團隊</w:t>
            </w:r>
            <w:r>
              <w:rPr>
                <w:rStyle w:val="Style14"/>
                <w:rFonts w:eastAsia="標楷體"/>
                <w:sz w:val="16"/>
                <w:szCs w:val="16"/>
              </w:rPr>
              <w:t>G</w:t>
            </w:r>
            <w:r>
              <w:rPr>
                <w:rStyle w:val="Style14"/>
                <w:rFonts w:eastAsia="標楷體"/>
                <w:sz w:val="16"/>
                <w:szCs w:val="16"/>
              </w:rPr>
              <w:t>；個人</w:t>
            </w:r>
            <w:r>
              <w:rPr>
                <w:rStyle w:val="Style14"/>
                <w:rFonts w:eastAsia="標楷體"/>
                <w:sz w:val="16"/>
                <w:szCs w:val="16"/>
              </w:rPr>
              <w:t>I</w:t>
            </w:r>
            <w:r>
              <w:rPr>
                <w:rStyle w:val="Style14"/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4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ind w:right="-108" w:hanging="10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7/20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（一）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團體動力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衝衝衝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5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57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【創造力測試】</w:t>
            </w:r>
            <w:r>
              <w:rPr>
                <w:rStyle w:val="Style14"/>
                <w:rFonts w:eastAsia="標楷體"/>
                <w:sz w:val="22"/>
              </w:rPr>
              <w:t>（</w:t>
            </w:r>
            <w:r>
              <w:rPr>
                <w:rStyle w:val="Style14"/>
                <w:rFonts w:eastAsia="標楷體"/>
                <w:sz w:val="22"/>
              </w:rPr>
              <w:t>I</w:t>
            </w:r>
            <w:r>
              <w:rPr>
                <w:rStyle w:val="Style14"/>
                <w:rFonts w:eastAsia="標楷體"/>
                <w:sz w:val="22"/>
              </w:rPr>
              <w:t>）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：經由創意測驗測試學員創造力</w:t>
            </w:r>
          </w:p>
          <w:p>
            <w:pPr>
              <w:pStyle w:val="Style18"/>
              <w:numPr>
                <w:ilvl w:val="0"/>
                <w:numId w:val="5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57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【猜猜我是誰】</w:t>
            </w:r>
            <w:r>
              <w:rPr>
                <w:rStyle w:val="Style14"/>
                <w:rFonts w:eastAsia="標楷體"/>
                <w:sz w:val="22"/>
              </w:rPr>
              <w:t>（</w:t>
            </w:r>
            <w:r>
              <w:rPr>
                <w:rStyle w:val="Style14"/>
                <w:rFonts w:eastAsia="標楷體"/>
                <w:sz w:val="22"/>
              </w:rPr>
              <w:t>I</w:t>
            </w:r>
            <w:r>
              <w:rPr>
                <w:rStyle w:val="Style14"/>
                <w:rFonts w:eastAsia="標楷體"/>
                <w:sz w:val="22"/>
              </w:rPr>
              <w:t>）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：經由腦力激盪術自我介紹，並初步進行分組</w:t>
            </w:r>
          </w:p>
          <w:p>
            <w:pPr>
              <w:pStyle w:val="Style18"/>
              <w:numPr>
                <w:ilvl w:val="0"/>
                <w:numId w:val="5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57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【觀察他是誰】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eastAsia="標楷體"/>
                <w:sz w:val="22"/>
              </w:rPr>
              <w:t>：</w:t>
            </w:r>
            <w:r>
              <w:rPr>
                <w:rStyle w:val="Style14"/>
                <w:rFonts w:ascii="標楷體" w:hAnsi="標楷體" w:eastAsia="標楷體"/>
                <w:sz w:val="22"/>
              </w:rPr>
              <w:t>經由猜測腦力激盪結果遊戲，</w:t>
            </w:r>
            <w:r>
              <w:rPr>
                <w:rStyle w:val="Style14"/>
                <w:rFonts w:eastAsia="標楷體"/>
                <w:sz w:val="22"/>
              </w:rPr>
              <w:t>凝聚小組團體動力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</w:tc>
      </w:tr>
      <w:tr>
        <w:trPr>
          <w:trHeight w:val="1270" w:hRule="atLeast"/>
          <w:cantSplit w:val="true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7/21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（二）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0" w:right="-120" w:hanging="1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玩具心事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0" w:right="-120" w:hanging="1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誰人知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6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24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【玩出不順】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：進行玩具定義，運用</w:t>
            </w:r>
            <w:r>
              <w:rPr>
                <w:rStyle w:val="Style14"/>
                <w:rFonts w:eastAsia="標楷體" w:ascii="標楷體" w:hAnsi="標楷體"/>
                <w:sz w:val="22"/>
              </w:rPr>
              <w:t>635</w:t>
            </w:r>
            <w:r>
              <w:rPr>
                <w:rStyle w:val="Style14"/>
                <w:rFonts w:ascii="標楷體" w:hAnsi="標楷體" w:eastAsia="標楷體"/>
                <w:sz w:val="22"/>
              </w:rPr>
              <w:t>腦力激盪術進行玩具引發不順事件的蒐集</w:t>
            </w:r>
          </w:p>
          <w:p>
            <w:pPr>
              <w:pStyle w:val="Style18"/>
              <w:numPr>
                <w:ilvl w:val="0"/>
                <w:numId w:val="6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24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【證據會說話】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：運用六何法針對</w:t>
            </w:r>
            <w:r>
              <w:rPr>
                <w:rStyle w:val="Style14"/>
                <w:rFonts w:eastAsia="標楷體"/>
                <w:sz w:val="22"/>
              </w:rPr>
              <w:t>不順事件進行事實探討</w:t>
            </w:r>
          </w:p>
          <w:p>
            <w:pPr>
              <w:pStyle w:val="Style18"/>
              <w:numPr>
                <w:ilvl w:val="0"/>
                <w:numId w:val="6"/>
              </w:numPr>
              <w:tabs>
                <w:tab w:val="clear" w:pos="480"/>
                <w:tab w:val="left" w:pos="277" w:leader="none"/>
              </w:tabs>
              <w:spacing w:lineRule="exact" w:line="280"/>
              <w:ind w:left="324" w:right="-43" w:hanging="374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【問題排序】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：將上述事實轉為問題後，運用配對比較分析法進行不順事件問題排序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</w:tc>
      </w:tr>
      <w:tr>
        <w:trPr>
          <w:trHeight w:val="636" w:hRule="atLeast"/>
          <w:cantSplit w:val="true"/>
        </w:trPr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玩具合體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新藝術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7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【發明俱樂部】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</w:t>
            </w:r>
            <w:r>
              <w:rPr>
                <w:rStyle w:val="Style14"/>
                <w:rFonts w:eastAsia="標楷體"/>
                <w:sz w:val="22"/>
              </w:rPr>
              <w:t>運用強迫聯想技術創作進行產品發明</w:t>
            </w:r>
          </w:p>
          <w:p>
            <w:pPr>
              <w:pStyle w:val="Style18"/>
              <w:numPr>
                <w:ilvl w:val="0"/>
                <w:numId w:val="7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【發明產品評選】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：運用</w:t>
            </w:r>
            <w:r>
              <w:rPr>
                <w:rStyle w:val="Style14"/>
                <w:rFonts w:eastAsia="標楷體" w:ascii="標楷體" w:hAnsi="標楷體"/>
                <w:sz w:val="22"/>
              </w:rPr>
              <w:t>High-Lighing</w:t>
            </w:r>
            <w:r>
              <w:rPr>
                <w:rStyle w:val="Style14"/>
                <w:rFonts w:ascii="標楷體" w:hAnsi="標楷體" w:eastAsia="標楷體"/>
                <w:sz w:val="22"/>
              </w:rPr>
              <w:t>選出優秀作品</w:t>
            </w:r>
          </w:p>
          <w:p>
            <w:pPr>
              <w:pStyle w:val="Style18"/>
              <w:numPr>
                <w:ilvl w:val="0"/>
                <w:numId w:val="7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【玩具藝術創作】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：運用</w:t>
            </w:r>
            <w:r>
              <w:rPr>
                <w:rStyle w:val="Style14"/>
                <w:rFonts w:eastAsia="標楷體" w:ascii="標楷體" w:hAnsi="標楷體"/>
                <w:sz w:val="22"/>
              </w:rPr>
              <w:t>BS.635BS</w:t>
            </w:r>
            <w:r>
              <w:rPr>
                <w:rStyle w:val="Style14"/>
                <w:rFonts w:ascii="標楷體" w:hAnsi="標楷體" w:eastAsia="標楷體"/>
                <w:sz w:val="22"/>
              </w:rPr>
              <w:t>列出創作主題，並讓小組交換主題創作</w:t>
            </w:r>
          </w:p>
          <w:p>
            <w:pPr>
              <w:pStyle w:val="Style18"/>
              <w:numPr>
                <w:ilvl w:val="0"/>
                <w:numId w:val="7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【玩具藝術評選】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：運用評估矩陣</w:t>
            </w:r>
            <w:r>
              <w:rPr>
                <w:rStyle w:val="Style14"/>
                <w:rFonts w:eastAsia="標楷體" w:ascii="標楷體" w:hAnsi="標楷體"/>
                <w:sz w:val="22"/>
              </w:rPr>
              <w:t>CARTS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溫蕙茹老師</w:t>
            </w:r>
          </w:p>
        </w:tc>
      </w:tr>
      <w:tr>
        <w:trPr>
          <w:trHeight w:val="836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7/22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（三）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玩具分身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要相惜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2"/>
                <w:numId w:val="8"/>
              </w:numPr>
              <w:tabs>
                <w:tab w:val="clear" w:pos="480"/>
                <w:tab w:val="left" w:pos="277" w:leader="none"/>
                <w:tab w:val="left" w:pos="310" w:leader="none"/>
              </w:tabs>
              <w:spacing w:lineRule="exact" w:line="280"/>
              <w:ind w:left="269" w:right="-43" w:hanging="269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【玩具拆解時間】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eastAsia="標楷體"/>
                <w:sz w:val="22"/>
              </w:rPr>
              <w:t>：運用廢棄玩具，小組拆解成最小單位</w:t>
            </w:r>
          </w:p>
          <w:p>
            <w:pPr>
              <w:pStyle w:val="Style18"/>
              <w:numPr>
                <w:ilvl w:val="2"/>
                <w:numId w:val="8"/>
              </w:numPr>
              <w:tabs>
                <w:tab w:val="clear" w:pos="480"/>
                <w:tab w:val="left" w:pos="277" w:leader="none"/>
                <w:tab w:val="left" w:pos="310" w:leader="none"/>
              </w:tabs>
              <w:spacing w:lineRule="exact" w:line="280"/>
              <w:ind w:left="269" w:right="-43" w:hanging="269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</w:t>
            </w:r>
            <w:r>
              <w:rPr>
                <w:rStyle w:val="Style14"/>
                <w:rFonts w:eastAsia="標楷體"/>
                <w:sz w:val="22"/>
              </w:rPr>
              <w:t>愛物惜物</w:t>
            </w:r>
            <w:r>
              <w:rPr>
                <w:rStyle w:val="Style14"/>
                <w:rFonts w:ascii="標楷體" w:hAnsi="標楷體" w:eastAsia="標楷體"/>
                <w:sz w:val="22"/>
              </w:rPr>
              <w:t>海報】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eastAsia="標楷體"/>
                <w:sz w:val="22"/>
              </w:rPr>
              <w:t>：小組運用各種擴散技法進行創意組合，製成一張宣導愛物惜物的海報</w:t>
            </w:r>
          </w:p>
          <w:p>
            <w:pPr>
              <w:pStyle w:val="Style18"/>
              <w:numPr>
                <w:ilvl w:val="2"/>
                <w:numId w:val="8"/>
              </w:numPr>
              <w:tabs>
                <w:tab w:val="clear" w:pos="480"/>
                <w:tab w:val="left" w:pos="277" w:leader="none"/>
                <w:tab w:val="left" w:pos="310" w:leader="none"/>
              </w:tabs>
              <w:spacing w:lineRule="exact" w:line="280"/>
              <w:ind w:left="269" w:right="-43" w:hanging="269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【宣導海報評選】</w:t>
            </w:r>
            <w:r>
              <w:rPr>
                <w:rStyle w:val="Style14"/>
                <w:rFonts w:eastAsia="標楷體"/>
                <w:sz w:val="22"/>
              </w:rPr>
              <w:t>(G)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：運用評估矩陣</w:t>
            </w:r>
            <w:r>
              <w:rPr>
                <w:rStyle w:val="Style14"/>
                <w:rFonts w:eastAsia="標楷體" w:ascii="標楷體" w:hAnsi="標楷體"/>
                <w:sz w:val="22"/>
              </w:rPr>
              <w:t>CARTS</w:t>
            </w:r>
            <w:r>
              <w:rPr>
                <w:rStyle w:val="Style14"/>
                <w:rFonts w:ascii="標楷體" w:hAnsi="標楷體" w:eastAsia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  <w:p>
            <w:pPr>
              <w:pStyle w:val="Style18"/>
              <w:spacing w:lineRule="exact" w:line="240"/>
              <w:jc w:val="center"/>
              <w:rPr/>
            </w:pPr>
            <w:r>
              <w:rPr>
                <w:rStyle w:val="Style14"/>
                <w:rFonts w:eastAsia="標楷體"/>
                <w:sz w:val="20"/>
              </w:rPr>
              <w:t>溫蕙茹老師</w:t>
            </w:r>
          </w:p>
        </w:tc>
      </w:tr>
      <w:tr>
        <w:trPr>
          <w:trHeight w:val="975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7/23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（四）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玩具博覽大發現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9"/>
              </w:numPr>
              <w:tabs>
                <w:tab w:val="clear" w:pos="480"/>
                <w:tab w:val="left" w:pos="264" w:leader="none"/>
              </w:tabs>
              <w:spacing w:lineRule="exact" w:line="280"/>
              <w:ind w:left="264" w:right="-43" w:hanging="264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【玩具再生繪本製作】</w:t>
            </w:r>
            <w:r>
              <w:rPr>
                <w:rFonts w:eastAsia="標楷體"/>
                <w:sz w:val="22"/>
              </w:rPr>
              <w:t>(G)</w:t>
            </w:r>
            <w:r>
              <w:rPr>
                <w:rFonts w:eastAsia="標楷體"/>
                <w:sz w:val="22"/>
              </w:rPr>
              <w:t>：以「廢棄玩具如何再利用？」為問題情境，讓小組學員一步一步解決問題，並將解決問題歷程製作成繪本。</w:t>
            </w:r>
          </w:p>
          <w:p>
            <w:pPr>
              <w:pStyle w:val="Style18"/>
              <w:numPr>
                <w:ilvl w:val="0"/>
                <w:numId w:val="9"/>
              </w:numPr>
              <w:tabs>
                <w:tab w:val="clear" w:pos="480"/>
                <w:tab w:val="left" w:pos="-1056" w:leader="none"/>
                <w:tab w:val="left" w:pos="-1010" w:leader="none"/>
              </w:tabs>
              <w:spacing w:lineRule="exact" w:line="280"/>
              <w:ind w:right="-43" w:hanging="132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製作繪本過程中運用</w:t>
            </w:r>
            <w:r>
              <w:rPr>
                <w:rFonts w:eastAsia="標楷體"/>
                <w:sz w:val="22"/>
              </w:rPr>
              <w:t>CPS</w:t>
            </w:r>
            <w:r>
              <w:rPr>
                <w:rFonts w:eastAsia="標楷體"/>
                <w:sz w:val="22"/>
              </w:rPr>
              <w:t>技法：</w:t>
            </w:r>
          </w:p>
          <w:p>
            <w:pPr>
              <w:pStyle w:val="Style18"/>
              <w:numPr>
                <w:ilvl w:val="1"/>
                <w:numId w:val="9"/>
              </w:numPr>
              <w:tabs>
                <w:tab w:val="clear" w:pos="480"/>
                <w:tab w:val="left" w:pos="-650" w:leader="none"/>
                <w:tab w:val="left" w:pos="34" w:leader="none"/>
              </w:tabs>
              <w:spacing w:lineRule="exact" w:line="280"/>
              <w:ind w:right="-43" w:hanging="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創造性問題解決</w:t>
            </w:r>
          </w:p>
          <w:p>
            <w:pPr>
              <w:pStyle w:val="Style18"/>
              <w:numPr>
                <w:ilvl w:val="2"/>
                <w:numId w:val="10"/>
              </w:numPr>
              <w:tabs>
                <w:tab w:val="clear" w:pos="480"/>
              </w:tabs>
              <w:spacing w:lineRule="exact" w:line="280"/>
              <w:ind w:left="975" w:right="-43" w:hanging="284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建構問題、探索事實、確立問題、產生點子、尋找解決方案、建立接受、行動計畫</w:t>
            </w:r>
            <w:r>
              <w:rPr>
                <w:rFonts w:eastAsia="標楷體"/>
                <w:sz w:val="22"/>
              </w:rPr>
              <w:t>DIY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溫蕙茹老師</w:t>
            </w:r>
          </w:p>
        </w:tc>
      </w:tr>
      <w:tr>
        <w:trPr>
          <w:trHeight w:val="975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7/24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（五）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玩具博覽大發現</w:t>
            </w:r>
          </w:p>
        </w:tc>
        <w:tc>
          <w:tcPr>
            <w:tcW w:w="6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7" w:hRule="atLeast"/>
          <w:cantSplit w:val="true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7/25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（六）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-120" w:right="-108" w:firstLine="2"/>
              <w:jc w:val="center"/>
              <w:rPr/>
            </w:pPr>
            <w:r>
              <w:rPr>
                <w:rStyle w:val="Style14"/>
                <w:rFonts w:eastAsia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玩具展覽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大無限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1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【解題大師的一封信】</w:t>
            </w:r>
            <w:r>
              <w:rPr>
                <w:rFonts w:eastAsia="標楷體"/>
                <w:sz w:val="22"/>
              </w:rPr>
              <w:t>(G)</w:t>
            </w:r>
            <w:r>
              <w:rPr>
                <w:rFonts w:eastAsia="標楷體"/>
                <w:sz w:val="22"/>
              </w:rPr>
              <w:t>：小組進行玩具博覽會準備</w:t>
            </w:r>
          </w:p>
          <w:p>
            <w:pPr>
              <w:pStyle w:val="Style18"/>
              <w:numPr>
                <w:ilvl w:val="0"/>
                <w:numId w:val="11"/>
              </w:numPr>
              <w:tabs>
                <w:tab w:val="clear" w:pos="480"/>
                <w:tab w:val="left" w:pos="-83" w:leader="none"/>
              </w:tabs>
              <w:spacing w:lineRule="exact" w:line="280"/>
              <w:ind w:right="-43" w:hanging="374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玩具博覽會實施（</w:t>
            </w:r>
            <w:r>
              <w:rPr>
                <w:rFonts w:eastAsia="標楷體"/>
                <w:sz w:val="22"/>
              </w:rPr>
              <w:t>G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溫蕙茹老師</w:t>
            </w:r>
          </w:p>
        </w:tc>
      </w:tr>
      <w:tr>
        <w:trPr>
          <w:trHeight w:val="60" w:hRule="atLeast"/>
          <w:cantSplit w:val="true"/>
        </w:trPr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ind w:firstLine="2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3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江美惠老師</w:t>
            </w:r>
          </w:p>
          <w:p>
            <w:pPr>
              <w:pStyle w:val="Style18"/>
              <w:spacing w:lineRule="exact" w:line="2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林傳能老師</w:t>
            </w:r>
          </w:p>
        </w:tc>
      </w:tr>
    </w:tbl>
    <w:p>
      <w:pPr>
        <w:pStyle w:val="Style18"/>
        <w:numPr>
          <w:ilvl w:val="0"/>
          <w:numId w:val="12"/>
        </w:numPr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共六次，總計</w:t>
      </w:r>
      <w:r>
        <w:rPr>
          <w:rFonts w:eastAsia="標楷體" w:ascii="標楷體" w:hAnsi="標楷體"/>
        </w:rPr>
        <w:t>32</w:t>
      </w:r>
      <w:r>
        <w:rPr>
          <w:rFonts w:ascii="標楷體" w:hAnsi="標楷體" w:eastAsia="標楷體"/>
        </w:rPr>
        <w:t>節課，利用寒暑假期間舉行，其中有兩次（</w:t>
      </w:r>
      <w:r>
        <w:rPr>
          <w:rFonts w:eastAsia="標楷體" w:ascii="標楷體" w:hAnsi="標楷體"/>
        </w:rPr>
        <w:t>7/21</w:t>
      </w:r>
      <w:r>
        <w:rPr>
          <w:rFonts w:ascii="標楷體" w:hAnsi="標楷體" w:eastAsia="標楷體"/>
        </w:rPr>
        <w:t>、</w:t>
      </w:r>
      <w:r>
        <w:rPr>
          <w:rFonts w:eastAsia="標楷體" w:ascii="標楷體" w:hAnsi="標楷體"/>
        </w:rPr>
        <w:t>7/25</w:t>
      </w:r>
      <w:r>
        <w:rPr>
          <w:rFonts w:ascii="標楷體" w:hAnsi="標楷體" w:eastAsia="標楷體"/>
        </w:rPr>
        <w:t>）為全天課程，上課時間為上午</w:t>
      </w:r>
      <w:r>
        <w:rPr>
          <w:rFonts w:eastAsia="標楷體" w:ascii="標楷體" w:hAnsi="標楷體"/>
        </w:rPr>
        <w:t>08</w:t>
      </w:r>
      <w:r>
        <w:rPr>
          <w:rFonts w:ascii="標楷體" w:hAnsi="標楷體" w:eastAsia="標楷體"/>
        </w:rPr>
        <w:t>：</w:t>
      </w:r>
      <w:r>
        <w:rPr>
          <w:rFonts w:eastAsia="標楷體" w:ascii="標楷體" w:hAnsi="標楷體"/>
        </w:rPr>
        <w:t>40</w:t>
      </w:r>
      <w:r>
        <w:rPr>
          <w:rFonts w:ascii="標楷體" w:hAnsi="標楷體" w:eastAsia="標楷體"/>
        </w:rPr>
        <w:t>至下午</w:t>
      </w:r>
      <w:r>
        <w:rPr>
          <w:rFonts w:eastAsia="標楷體" w:ascii="標楷體" w:hAnsi="標楷體"/>
        </w:rPr>
        <w:t>04</w:t>
      </w:r>
      <w:r>
        <w:rPr>
          <w:rFonts w:ascii="標楷體" w:hAnsi="標楷體" w:eastAsia="標楷體"/>
        </w:rPr>
        <w:t>：</w:t>
      </w:r>
      <w:r>
        <w:rPr>
          <w:rFonts w:eastAsia="標楷體" w:ascii="標楷體" w:hAnsi="標楷體"/>
        </w:rPr>
        <w:t>30</w:t>
      </w:r>
      <w:r>
        <w:rPr>
          <w:rFonts w:ascii="標楷體" w:hAnsi="標楷體" w:eastAsia="標楷體"/>
        </w:rPr>
        <w:t>，其餘半天課程上課時間為上午</w:t>
      </w:r>
      <w:r>
        <w:rPr>
          <w:rFonts w:eastAsia="標楷體" w:ascii="標楷體" w:hAnsi="標楷體"/>
        </w:rPr>
        <w:t>08</w:t>
      </w:r>
      <w:r>
        <w:rPr>
          <w:rFonts w:ascii="標楷體" w:hAnsi="標楷體" w:eastAsia="標楷體"/>
        </w:rPr>
        <w:t>：</w:t>
      </w:r>
      <w:r>
        <w:rPr>
          <w:rFonts w:eastAsia="標楷體" w:ascii="標楷體" w:hAnsi="標楷體"/>
        </w:rPr>
        <w:t>40~ 12</w:t>
      </w:r>
      <w:r>
        <w:rPr>
          <w:rFonts w:ascii="標楷體" w:hAnsi="標楷體" w:eastAsia="標楷體"/>
        </w:rPr>
        <w:t>：</w:t>
      </w:r>
      <w:r>
        <w:rPr>
          <w:rFonts w:eastAsia="標楷體" w:ascii="標楷體" w:hAnsi="標楷體"/>
        </w:rPr>
        <w:t>10</w:t>
      </w:r>
      <w:r>
        <w:rPr>
          <w:rFonts w:ascii="標楷體" w:hAnsi="標楷體" w:eastAsia="標楷體"/>
        </w:rPr>
        <w:t>。</w:t>
      </w:r>
    </w:p>
    <w:p>
      <w:pPr>
        <w:pStyle w:val="Style18"/>
        <w:numPr>
          <w:ilvl w:val="0"/>
          <w:numId w:val="12"/>
        </w:numPr>
        <w:tabs>
          <w:tab w:val="clear" w:pos="480"/>
          <w:tab w:val="left" w:pos="0" w:leader="none"/>
          <w:tab w:val="left" w:pos="360" w:leader="none"/>
        </w:tabs>
        <w:spacing w:lineRule="exact" w:line="3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講師介紹：江美惠老師與林傳能老師為台北市中山國小資優資源班教師，分別於</w:t>
      </w:r>
      <w:r>
        <w:rPr>
          <w:rFonts w:eastAsia="標楷體" w:ascii="標楷體" w:hAnsi="標楷體"/>
        </w:rPr>
        <w:t>2010</w:t>
      </w:r>
      <w:r>
        <w:rPr>
          <w:rFonts w:ascii="標楷體" w:hAnsi="標楷體" w:eastAsia="標楷體"/>
        </w:rPr>
        <w:t>、</w:t>
      </w:r>
      <w:r>
        <w:rPr>
          <w:rFonts w:eastAsia="標楷體" w:ascii="標楷體" w:hAnsi="標楷體"/>
        </w:rPr>
        <w:t>2011</w:t>
      </w:r>
      <w:r>
        <w:rPr>
          <w:rFonts w:ascii="標楷體" w:hAnsi="標楷體" w:eastAsia="標楷體"/>
        </w:rPr>
        <w:t>、</w:t>
      </w:r>
      <w:r>
        <w:rPr>
          <w:rFonts w:eastAsia="標楷體" w:ascii="標楷體" w:hAnsi="標楷體"/>
        </w:rPr>
        <w:t>2012</w:t>
      </w:r>
      <w:r>
        <w:rPr>
          <w:rFonts w:ascii="標楷體" w:hAnsi="標楷體" w:eastAsia="標楷體"/>
        </w:rPr>
        <w:t>年獲選為微軟創意教師第一名、第二名等殊榮，並於</w:t>
      </w:r>
      <w:r>
        <w:rPr>
          <w:rFonts w:eastAsia="標楷體" w:ascii="標楷體" w:hAnsi="標楷體"/>
        </w:rPr>
        <w:t>2015</w:t>
      </w:r>
      <w:r>
        <w:rPr>
          <w:rFonts w:ascii="標楷體" w:hAnsi="標楷體" w:eastAsia="標楷體"/>
        </w:rPr>
        <w:t>年獲選親子天下翻轉教育創意教師；於台灣各地多次分享其資優教育及創造力教學經驗，擔任多屆臺北市區域性資優方案教師。</w:t>
      </w:r>
    </w:p>
    <w:p>
      <w:pPr>
        <w:pStyle w:val="Style18"/>
        <w:spacing w:lineRule="exact" w:line="32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spacing w:lineRule="exact" w:line="320"/>
        <w:rPr/>
      </w:pPr>
      <w:r>
        <w:rPr>
          <w:rStyle w:val="Style14"/>
          <w:rFonts w:eastAsia="標楷體"/>
          <w:color w:val="000000"/>
        </w:rPr>
        <w:t>附件二</w:t>
      </w:r>
      <w: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column">
                  <wp:posOffset>4822190</wp:posOffset>
                </wp:positionH>
                <wp:positionV relativeFrom="paragraph">
                  <wp:posOffset>-179705</wp:posOffset>
                </wp:positionV>
                <wp:extent cx="1638300" cy="4762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rPr/>
                            </w:pPr>
                            <w:r>
                              <w:rPr>
                                <w:rStyle w:val="Style14"/>
                                <w:rFonts w:ascii="Wingdings 2" w:hAnsi="Wingdings 2" w:cs="Wingdings 2" w:eastAsia="Wingdings 2"/>
                              </w:rPr>
                              <w:t></w:t>
                            </w:r>
                            <w:r>
                              <w:rPr/>
                              <w:t>錄取編號：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9pt;height:37.5pt;mso-wrap-distance-left:0pt;mso-wrap-distance-right:0pt;mso-wrap-distance-top:0pt;mso-wrap-distance-bottom:0pt;margin-top:-14.15pt;mso-position-vertical-relative:text;margin-left:379.7pt;mso-position-horizontal-relative:text">
                <v:textbox>
                  <w:txbxContent>
                    <w:p>
                      <w:pPr>
                        <w:pStyle w:val="Style18"/>
                        <w:rPr/>
                      </w:pPr>
                      <w:r>
                        <w:rPr>
                          <w:rStyle w:val="Style14"/>
                          <w:rFonts w:ascii="Wingdings 2" w:hAnsi="Wingdings 2" w:cs="Wingdings 2" w:eastAsia="Wingdings 2"/>
                        </w:rPr>
                        <w:t></w:t>
                      </w:r>
                      <w:r>
                        <w:rPr/>
                        <w:t>錄取編號：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8"/>
        <w:spacing w:lineRule="exact" w:line="560"/>
        <w:jc w:val="center"/>
        <w:rPr/>
      </w:pPr>
      <w:r>
        <w:rPr>
          <w:rStyle w:val="Style14"/>
          <w:rFonts w:eastAsia="標楷體"/>
          <w:sz w:val="28"/>
          <w:szCs w:val="36"/>
        </w:rPr>
        <w:t>臺北市中山區中山國民小學－</w:t>
      </w:r>
      <w:r>
        <w:rPr>
          <w:rStyle w:val="Style14"/>
          <w:rFonts w:eastAsia="標楷體"/>
          <w:sz w:val="28"/>
          <w:szCs w:val="36"/>
        </w:rPr>
        <w:t>115</w:t>
      </w:r>
      <w:r>
        <w:rPr>
          <w:rStyle w:val="Style14"/>
          <w:rFonts w:eastAsia="標楷體"/>
          <w:sz w:val="28"/>
          <w:szCs w:val="36"/>
        </w:rPr>
        <w:t>年度</w:t>
      </w:r>
      <w:r>
        <w:rPr>
          <w:rStyle w:val="Style14"/>
          <w:rFonts w:eastAsia="標楷體"/>
          <w:w w:val="90"/>
          <w:sz w:val="28"/>
          <w:szCs w:val="36"/>
        </w:rPr>
        <w:t>「</w:t>
      </w:r>
      <w:r>
        <w:rPr>
          <w:rStyle w:val="Style14"/>
          <w:rFonts w:eastAsia="標楷體"/>
          <w:w w:val="90"/>
          <w:sz w:val="28"/>
          <w:szCs w:val="36"/>
        </w:rPr>
        <w:t>CPS</w:t>
      </w:r>
      <w:r>
        <w:rPr>
          <w:rStyle w:val="Style14"/>
          <w:rFonts w:eastAsia="標楷體"/>
          <w:w w:val="90"/>
          <w:sz w:val="28"/>
          <w:szCs w:val="36"/>
        </w:rPr>
        <w:t>創意列車（初階）</w:t>
      </w:r>
      <w:r>
        <w:rPr>
          <w:rStyle w:val="Style14"/>
          <w:rFonts w:eastAsia="標楷體"/>
          <w:w w:val="90"/>
          <w:sz w:val="28"/>
          <w:szCs w:val="36"/>
        </w:rPr>
        <w:t>~</w:t>
      </w:r>
      <w:r>
        <w:rPr>
          <w:rStyle w:val="Style14"/>
          <w:rFonts w:eastAsia="標楷體"/>
          <w:w w:val="90"/>
          <w:sz w:val="28"/>
          <w:szCs w:val="36"/>
        </w:rPr>
        <w:t>玩具進化論」</w:t>
      </w:r>
      <w:r>
        <w:rPr>
          <w:rStyle w:val="Style14"/>
          <w:rFonts w:eastAsia="標楷體"/>
          <w:sz w:val="28"/>
          <w:szCs w:val="36"/>
        </w:rPr>
        <w:t>報名表</w:t>
      </w:r>
    </w:p>
    <w:p>
      <w:pPr>
        <w:pStyle w:val="Style18"/>
        <w:snapToGrid w:val="false"/>
        <w:spacing w:lineRule="exact" w:line="200"/>
        <w:jc w:val="right"/>
        <w:rPr>
          <w:rFonts w:eastAsia="標楷體"/>
        </w:rPr>
      </w:pPr>
      <w:r>
        <w:rPr>
          <w:rFonts w:eastAsia="標楷體"/>
        </w:rPr>
        <w:t>打★處由承辦學校填寫</w:t>
      </w:r>
    </w:p>
    <w:tbl>
      <w:tblPr>
        <w:tblW w:w="97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67"/>
        <w:gridCol w:w="1757"/>
        <w:gridCol w:w="600"/>
        <w:gridCol w:w="322"/>
        <w:gridCol w:w="982"/>
        <w:gridCol w:w="1546"/>
        <w:gridCol w:w="325"/>
        <w:gridCol w:w="45"/>
        <w:gridCol w:w="45"/>
        <w:gridCol w:w="199"/>
        <w:gridCol w:w="1210"/>
        <w:gridCol w:w="1110"/>
      </w:tblGrid>
      <w:tr>
        <w:trPr>
          <w:trHeight w:val="165" w:hRule="atLeast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ind w:right="839" w:hanging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一、學校資料欄</w:t>
            </w:r>
          </w:p>
        </w:tc>
      </w:tr>
      <w:tr>
        <w:trPr>
          <w:trHeight w:val="463" w:hRule="atLeast"/>
        </w:trPr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72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區         國小</w:t>
            </w:r>
          </w:p>
        </w:tc>
        <w:tc>
          <w:tcPr>
            <w:tcW w:w="19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 校 聯 絡 箱</w:t>
            </w:r>
          </w:p>
        </w:tc>
        <w:tc>
          <w:tcPr>
            <w:tcW w:w="256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409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學校電話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學校聯絡人姓名</w:t>
            </w: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30" w:hRule="atLeast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napToGrid w:val="false"/>
              <w:ind w:left="-2" w:right="-2" w:firstLine="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>
        <w:trPr>
          <w:trHeight w:val="518" w:hRule="atLeast"/>
        </w:trPr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74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9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87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/>
            </w:pP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eastAsia="標楷體"/>
              </w:rPr>
              <w:t xml:space="preserve">男 </w:t>
            </w: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eastAsia="標楷體"/>
              </w:rPr>
              <w:t>女</w:t>
            </w:r>
          </w:p>
        </w:tc>
        <w:tc>
          <w:tcPr>
            <w:tcW w:w="149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午餐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ind w:right="-65" w:hanging="0"/>
              <w:rPr/>
            </w:pP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eastAsia="標楷體"/>
              </w:rPr>
              <w:t xml:space="preserve">葷    </w:t>
            </w: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eastAsia="標楷體"/>
              </w:rPr>
              <w:t>方便素</w:t>
            </w:r>
          </w:p>
        </w:tc>
      </w:tr>
      <w:tr>
        <w:trPr>
          <w:trHeight w:val="531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就讀班級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       班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0" w:right="-65" w:hanging="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學生身分證字號</w:t>
            </w:r>
          </w:p>
          <w:p>
            <w:pPr>
              <w:pStyle w:val="Style18"/>
              <w:tabs>
                <w:tab w:val="clear" w:pos="480"/>
              </w:tabs>
              <w:ind w:left="-110" w:right="-65" w:hanging="0"/>
              <w:jc w:val="center"/>
              <w:rPr/>
            </w:pPr>
            <w:r>
              <w:rPr>
                <w:rStyle w:val="Style14"/>
                <w:rFonts w:eastAsia="標楷體"/>
                <w:i/>
                <w:sz w:val="20"/>
              </w:rPr>
              <w:t>僅校園線上繳費使用</w:t>
            </w:r>
          </w:p>
        </w:tc>
        <w:tc>
          <w:tcPr>
            <w:tcW w:w="2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526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家庭住址</w:t>
            </w:r>
          </w:p>
        </w:tc>
        <w:tc>
          <w:tcPr>
            <w:tcW w:w="82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455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家長聯絡電話</w:t>
            </w:r>
          </w:p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緊急聯絡電話</w:t>
            </w:r>
            <w:r>
              <w:rPr>
                <w:rFonts w:eastAsia="標楷體"/>
              </w:rPr>
              <w:t>)</w:t>
            </w:r>
          </w:p>
        </w:tc>
        <w:tc>
          <w:tcPr>
            <w:tcW w:w="2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  <w:t>(O)</w:t>
            </w:r>
          </w:p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  <w:t>(H)</w:t>
            </w:r>
          </w:p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行</w:t>
            </w:r>
            <w:r>
              <w:rPr>
                <w:rFonts w:eastAsia="標楷體"/>
              </w:rPr>
              <w:t>)</w:t>
            </w:r>
          </w:p>
        </w:tc>
      </w:tr>
      <w:tr>
        <w:trPr>
          <w:trHeight w:val="455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請正楷書寫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96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推薦理由</w:t>
            </w:r>
          </w:p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特殊需求</w:t>
            </w:r>
          </w:p>
          <w:p>
            <w:pPr>
              <w:pStyle w:val="Style18"/>
              <w:snapToGrid w:val="false"/>
              <w:jc w:val="center"/>
              <w:rPr/>
            </w:pPr>
            <w:r>
              <w:rPr>
                <w:rStyle w:val="Style14"/>
                <w:rFonts w:eastAsia="標楷體"/>
                <w:b/>
                <w:sz w:val="20"/>
              </w:rPr>
              <w:t>（請導師或推薦教師填寫及簽名）</w:t>
            </w:r>
          </w:p>
        </w:tc>
        <w:tc>
          <w:tcPr>
            <w:tcW w:w="82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  <w:t>推薦理由：</w:t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  <w:t>學習特殊需求：</w:t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  <w:t>分組考量：</w:t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  <w:t>合作學習表現（</w:t>
            </w:r>
            <w:r>
              <w:rPr>
                <w:rFonts w:eastAsia="標楷體"/>
              </w:rPr>
              <w:t>1~4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5~8</w:t>
            </w:r>
            <w:r>
              <w:rPr>
                <w:rFonts w:eastAsia="標楷體"/>
              </w:rPr>
              <w:t>各勾選一個）：</w:t>
            </w:r>
          </w:p>
          <w:p>
            <w:pPr>
              <w:pStyle w:val="Style18"/>
              <w:tabs>
                <w:tab w:val="clear" w:pos="480"/>
              </w:tabs>
              <w:snapToGrid w:val="false"/>
              <w:spacing w:lineRule="exact" w:line="240"/>
              <w:ind w:left="316" w:hanging="81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□ </w:t>
            </w:r>
            <w:r>
              <w:rPr>
                <w:rFonts w:eastAsia="標楷體"/>
                <w:sz w:val="22"/>
              </w:rPr>
              <w:t>1.</w:t>
            </w:r>
            <w:r>
              <w:rPr>
                <w:rFonts w:eastAsia="標楷體"/>
                <w:sz w:val="22"/>
              </w:rPr>
              <w:t xml:space="preserve">學生總是主動發表      □ </w:t>
            </w:r>
            <w:r>
              <w:rPr>
                <w:rFonts w:eastAsia="標楷體"/>
                <w:sz w:val="22"/>
              </w:rPr>
              <w:t>5.</w:t>
            </w:r>
            <w:r>
              <w:rPr>
                <w:rFonts w:eastAsia="標楷體"/>
                <w:sz w:val="22"/>
              </w:rPr>
              <w:t>學生總是領導其他組員行動</w:t>
            </w:r>
          </w:p>
          <w:p>
            <w:pPr>
              <w:pStyle w:val="Style18"/>
              <w:tabs>
                <w:tab w:val="clear" w:pos="480"/>
              </w:tabs>
              <w:snapToGrid w:val="false"/>
              <w:spacing w:lineRule="exact" w:line="240"/>
              <w:ind w:left="316" w:hanging="81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□ </w:t>
            </w:r>
            <w:r>
              <w:rPr>
                <w:rFonts w:eastAsia="標楷體"/>
                <w:sz w:val="22"/>
              </w:rPr>
              <w:t>2.</w:t>
            </w:r>
            <w:r>
              <w:rPr>
                <w:rFonts w:eastAsia="標楷體"/>
                <w:sz w:val="22"/>
              </w:rPr>
              <w:t xml:space="preserve">學生常常主動發表      □ </w:t>
            </w:r>
            <w:r>
              <w:rPr>
                <w:rFonts w:eastAsia="標楷體"/>
                <w:sz w:val="22"/>
              </w:rPr>
              <w:t>6.</w:t>
            </w:r>
            <w:r>
              <w:rPr>
                <w:rFonts w:eastAsia="標楷體"/>
                <w:sz w:val="22"/>
              </w:rPr>
              <w:t>學生常常主動配合其他組員行動</w:t>
            </w:r>
          </w:p>
          <w:p>
            <w:pPr>
              <w:pStyle w:val="Style18"/>
              <w:tabs>
                <w:tab w:val="clear" w:pos="480"/>
              </w:tabs>
              <w:snapToGrid w:val="false"/>
              <w:spacing w:lineRule="exact" w:line="240"/>
              <w:ind w:left="316" w:hanging="81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□ </w:t>
            </w:r>
            <w:r>
              <w:rPr>
                <w:rFonts w:eastAsia="標楷體"/>
                <w:sz w:val="22"/>
              </w:rPr>
              <w:t>3.</w:t>
            </w:r>
            <w:r>
              <w:rPr>
                <w:rFonts w:eastAsia="標楷體"/>
                <w:sz w:val="22"/>
              </w:rPr>
              <w:t xml:space="preserve">學生偶而表達想法      □ </w:t>
            </w:r>
            <w:r>
              <w:rPr>
                <w:rFonts w:eastAsia="標楷體"/>
                <w:sz w:val="22"/>
              </w:rPr>
              <w:t>7.</w:t>
            </w:r>
            <w:r>
              <w:rPr>
                <w:rFonts w:eastAsia="標楷體"/>
                <w:sz w:val="22"/>
              </w:rPr>
              <w:t>學生偶而主動配合其他組員行動</w:t>
            </w:r>
          </w:p>
          <w:p>
            <w:pPr>
              <w:pStyle w:val="Style18"/>
              <w:spacing w:lineRule="exact" w:line="240"/>
              <w:ind w:firstLine="231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□ </w:t>
            </w:r>
            <w:r>
              <w:rPr>
                <w:rFonts w:eastAsia="標楷體"/>
                <w:sz w:val="22"/>
              </w:rPr>
              <w:t>4.</w:t>
            </w:r>
            <w:r>
              <w:rPr>
                <w:rFonts w:eastAsia="標楷體"/>
                <w:sz w:val="22"/>
              </w:rPr>
              <w:t xml:space="preserve">學生很少表達想法      □ </w:t>
            </w:r>
            <w:r>
              <w:rPr>
                <w:rFonts w:eastAsia="標楷體"/>
                <w:sz w:val="22"/>
              </w:rPr>
              <w:t>8.</w:t>
            </w:r>
            <w:r>
              <w:rPr>
                <w:rFonts w:eastAsia="標楷體"/>
                <w:sz w:val="22"/>
              </w:rPr>
              <w:t>學生通常在小組中不行動</w:t>
            </w:r>
          </w:p>
          <w:p>
            <w:pPr>
              <w:pStyle w:val="Style18"/>
              <w:rPr/>
            </w:pPr>
            <w:r>
              <w:rPr>
                <w:rStyle w:val="Style14"/>
                <w:rFonts w:eastAsia="標楷體"/>
              </w:rPr>
              <w:t xml:space="preserve">                           </w:t>
            </w:r>
            <w:r>
              <w:rPr>
                <w:rStyle w:val="Style14"/>
                <w:rFonts w:eastAsia="標楷體"/>
                <w:b/>
              </w:rPr>
              <w:t>導師</w:t>
            </w:r>
            <w:r>
              <w:rPr>
                <w:rStyle w:val="Style14"/>
                <w:rFonts w:eastAsia="標楷體"/>
                <w:b/>
              </w:rPr>
              <w:t>/</w:t>
            </w:r>
            <w:r>
              <w:rPr>
                <w:rStyle w:val="Style14"/>
                <w:rFonts w:eastAsia="標楷體"/>
                <w:b/>
              </w:rPr>
              <w:t>推薦教師簽名：</w:t>
            </w:r>
          </w:p>
        </w:tc>
      </w:tr>
      <w:tr>
        <w:trPr>
          <w:trHeight w:val="41" w:hRule="atLeast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ind w:right="840" w:hanging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三、家長同意書（共分接送安全、肖像權兩份）</w:t>
            </w:r>
          </w:p>
        </w:tc>
      </w:tr>
      <w:tr>
        <w:trPr>
          <w:trHeight w:val="1083" w:hRule="atLeast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8"/>
              <w:tabs>
                <w:tab w:val="clear" w:pos="480"/>
                <w:tab w:val="left" w:pos="11200" w:leader="none"/>
              </w:tabs>
              <w:snapToGrid w:val="false"/>
              <w:spacing w:before="108" w:after="108"/>
              <w:ind w:right="79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本人願維護子弟於「</w:t>
            </w:r>
            <w:r>
              <w:rPr>
                <w:rFonts w:eastAsia="標楷體"/>
              </w:rPr>
              <w:t>CPS</w:t>
            </w:r>
            <w:r>
              <w:rPr>
                <w:rFonts w:eastAsia="標楷體"/>
              </w:rPr>
              <w:t>創意列車」課程期間上下學之安全，遵守學校及教師之規定。如有不接受輔導而發生違規情事者，將由本人自行負責。</w:t>
            </w:r>
          </w:p>
          <w:p>
            <w:pPr>
              <w:pStyle w:val="Style18"/>
              <w:tabs>
                <w:tab w:val="clear" w:pos="480"/>
                <w:tab w:val="left" w:pos="11200" w:leader="none"/>
              </w:tabs>
              <w:snapToGrid w:val="false"/>
              <w:spacing w:before="108" w:after="108"/>
              <w:ind w:right="79" w:hanging="0"/>
              <w:jc w:val="both"/>
              <w:rPr/>
            </w:pPr>
            <w:r>
              <w:rPr>
                <w:rStyle w:val="Style14"/>
                <w:rFonts w:eastAsia="標楷體"/>
              </w:rPr>
              <w:t xml:space="preserve">                                    </w:t>
            </w:r>
            <w:r>
              <w:rPr>
                <w:rStyle w:val="Style14"/>
                <w:rFonts w:eastAsia="標楷體"/>
                <w:b/>
              </w:rPr>
              <w:t>家長</w:t>
            </w:r>
            <w:r>
              <w:rPr>
                <w:rStyle w:val="Style14"/>
                <w:rFonts w:eastAsia="標楷體"/>
                <w:b/>
              </w:rPr>
              <w:t>/</w:t>
            </w:r>
            <w:r>
              <w:rPr>
                <w:rStyle w:val="Style14"/>
                <w:rFonts w:eastAsia="標楷體"/>
                <w:b/>
              </w:rPr>
              <w:t>監護人 簽章：</w:t>
            </w:r>
          </w:p>
        </w:tc>
      </w:tr>
      <w:tr>
        <w:trPr>
          <w:trHeight w:val="1216" w:hRule="atLeast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8"/>
              <w:tabs>
                <w:tab w:val="clear" w:pos="480"/>
                <w:tab w:val="left" w:pos="11200" w:leader="none"/>
              </w:tabs>
              <w:snapToGrid w:val="false"/>
              <w:spacing w:before="108" w:after="108"/>
              <w:ind w:right="79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本人同意貴單位於課程中拍攝、修飾、使用、公開展示本人子弟之肖像、名字、聲音、作品等，並展示於活動網站及其他相關成果上。</w:t>
            </w:r>
          </w:p>
          <w:p>
            <w:pPr>
              <w:pStyle w:val="Style18"/>
              <w:tabs>
                <w:tab w:val="clear" w:pos="480"/>
                <w:tab w:val="left" w:pos="11200" w:leader="none"/>
              </w:tabs>
              <w:snapToGrid w:val="false"/>
              <w:spacing w:before="108" w:after="108"/>
              <w:ind w:right="79" w:hanging="0"/>
              <w:jc w:val="both"/>
              <w:rPr/>
            </w:pPr>
            <w:r>
              <w:rPr>
                <w:rStyle w:val="Style14"/>
                <w:rFonts w:eastAsia="標楷體"/>
              </w:rPr>
              <w:t xml:space="preserve">                                    </w:t>
            </w:r>
            <w:r>
              <w:rPr>
                <w:rStyle w:val="Style14"/>
                <w:rFonts w:eastAsia="標楷體"/>
                <w:b/>
              </w:rPr>
              <w:t>家長</w:t>
            </w:r>
            <w:r>
              <w:rPr>
                <w:rStyle w:val="Style14"/>
                <w:rFonts w:eastAsia="標楷體"/>
                <w:b/>
              </w:rPr>
              <w:t>/</w:t>
            </w:r>
            <w:r>
              <w:rPr>
                <w:rStyle w:val="Style14"/>
                <w:rFonts w:eastAsia="標楷體"/>
                <w:b/>
              </w:rPr>
              <w:t>監護人 簽章：</w:t>
            </w:r>
          </w:p>
        </w:tc>
      </w:tr>
      <w:tr>
        <w:trPr>
          <w:trHeight w:val="210" w:hRule="atLeast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  <w:tab w:val="left" w:pos="11200" w:leader="none"/>
              </w:tabs>
              <w:snapToGrid w:val="false"/>
              <w:ind w:right="79" w:hanging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繳費方式調查</w:t>
            </w:r>
          </w:p>
        </w:tc>
        <w:tc>
          <w:tcPr>
            <w:tcW w:w="8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8"/>
              <w:numPr>
                <w:ilvl w:val="3"/>
                <w:numId w:val="9"/>
              </w:numPr>
              <w:tabs>
                <w:tab w:val="clear" w:pos="480"/>
                <w:tab w:val="left" w:pos="-1466" w:leader="none"/>
              </w:tabs>
              <w:spacing w:lineRule="exact" w:line="260"/>
              <w:ind w:hanging="180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家長已辦理校園線上繳費系統，將於</w:t>
            </w:r>
            <w:r>
              <w:rPr>
                <w:rFonts w:eastAsia="標楷體"/>
                <w:sz w:val="26"/>
                <w:szCs w:val="26"/>
              </w:rPr>
              <w:t>5/27~6/3</w:t>
            </w:r>
            <w:r>
              <w:rPr>
                <w:rFonts w:eastAsia="標楷體"/>
                <w:sz w:val="26"/>
                <w:szCs w:val="26"/>
              </w:rPr>
              <w:t>進行線上繳費。</w:t>
            </w:r>
          </w:p>
          <w:p>
            <w:pPr>
              <w:pStyle w:val="Style18"/>
              <w:numPr>
                <w:ilvl w:val="3"/>
                <w:numId w:val="9"/>
              </w:numPr>
              <w:tabs>
                <w:tab w:val="clear" w:pos="480"/>
                <w:tab w:val="left" w:pos="334" w:leader="none"/>
              </w:tabs>
              <w:spacing w:lineRule="exact" w:line="260"/>
              <w:ind w:left="334" w:hanging="334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家長無申請校園線上繳費系統，將透過</w:t>
            </w:r>
            <w:r>
              <w:rPr>
                <w:rFonts w:eastAsia="標楷體"/>
                <w:sz w:val="26"/>
                <w:szCs w:val="26"/>
              </w:rPr>
              <w:t>MAIL</w:t>
            </w:r>
            <w:r>
              <w:rPr>
                <w:rFonts w:eastAsia="標楷體"/>
                <w:sz w:val="26"/>
                <w:szCs w:val="26"/>
              </w:rPr>
              <w:t>收到電子繳費單，於</w:t>
            </w:r>
            <w:r>
              <w:rPr>
                <w:rFonts w:eastAsia="標楷體"/>
                <w:sz w:val="26"/>
                <w:szCs w:val="26"/>
              </w:rPr>
              <w:t>5/26~6/1</w:t>
            </w:r>
            <w:r>
              <w:rPr>
                <w:rFonts w:eastAsia="標楷體"/>
                <w:sz w:val="26"/>
                <w:szCs w:val="26"/>
              </w:rPr>
              <w:t>進行線上繳費。</w:t>
            </w:r>
          </w:p>
        </w:tc>
      </w:tr>
      <w:tr>
        <w:trPr>
          <w:trHeight w:val="214" w:hRule="atLeast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審核結果</w:t>
            </w:r>
          </w:p>
          <w:p>
            <w:pPr>
              <w:pStyle w:val="Style18"/>
              <w:snapToGrid w:val="false"/>
              <w:rPr/>
            </w:pPr>
            <w:r>
              <w:rPr>
                <w:rStyle w:val="Style14"/>
                <w:rFonts w:eastAsia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錄  取</w:t>
            </w:r>
          </w:p>
          <w:p>
            <w:pPr>
              <w:pStyle w:val="Style18"/>
              <w:snapToGrid w:val="fals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不錄取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</w:tbl>
    <w:p>
      <w:pPr>
        <w:pStyle w:val="Style18"/>
        <w:numPr>
          <w:ilvl w:val="0"/>
          <w:numId w:val="13"/>
        </w:numPr>
        <w:tabs>
          <w:tab w:val="clear" w:pos="480"/>
          <w:tab w:val="left" w:pos="284" w:leader="none"/>
        </w:tabs>
        <w:spacing w:lineRule="exact" w:line="280"/>
        <w:ind w:left="278" w:hanging="278"/>
        <w:jc w:val="both"/>
        <w:rPr/>
      </w:pPr>
      <w:r>
        <w:rPr>
          <w:rStyle w:val="Style14"/>
          <w:rFonts w:eastAsia="標楷體"/>
        </w:rPr>
        <w:t>報名方式：即日起至</w:t>
      </w:r>
      <w:r>
        <w:rPr>
          <w:rStyle w:val="Style14"/>
          <w:rFonts w:eastAsia="標楷體"/>
          <w:b/>
        </w:rPr>
        <w:t>5</w:t>
      </w:r>
      <w:r>
        <w:rPr>
          <w:rStyle w:val="Style14"/>
          <w:rFonts w:eastAsia="標楷體"/>
          <w:b/>
        </w:rPr>
        <w:t>月</w:t>
      </w:r>
      <w:r>
        <w:rPr>
          <w:rStyle w:val="Style14"/>
          <w:rFonts w:eastAsia="標楷體"/>
          <w:b/>
        </w:rPr>
        <w:t>4</w:t>
      </w:r>
      <w:r>
        <w:rPr>
          <w:rStyle w:val="Style14"/>
          <w:rFonts w:eastAsia="標楷體"/>
          <w:b/>
        </w:rPr>
        <w:t>日</w:t>
      </w:r>
      <w:r>
        <w:rPr>
          <w:rStyle w:val="Style14"/>
          <w:rFonts w:eastAsia="標楷體"/>
          <w:b/>
        </w:rPr>
        <w:t>(</w:t>
      </w:r>
      <w:r>
        <w:rPr>
          <w:rStyle w:val="Style14"/>
          <w:rFonts w:eastAsia="標楷體"/>
          <w:b/>
        </w:rPr>
        <w:t>一</w:t>
      </w:r>
      <w:r>
        <w:rPr>
          <w:rStyle w:val="Style14"/>
          <w:rFonts w:eastAsia="標楷體"/>
          <w:b/>
        </w:rPr>
        <w:t>)</w:t>
      </w:r>
      <w:r>
        <w:rPr>
          <w:rStyle w:val="Style14"/>
          <w:rFonts w:eastAsia="標楷體"/>
          <w:b/>
        </w:rPr>
        <w:t>下午四時請各自交至校內特教組</w:t>
      </w:r>
      <w:r>
        <w:rPr>
          <w:rStyle w:val="Style14"/>
          <w:rFonts w:eastAsia="標楷體"/>
        </w:rPr>
        <w:t>，各校請於</w:t>
      </w:r>
      <w:r>
        <w:rPr>
          <w:rStyle w:val="Style14"/>
          <w:rFonts w:eastAsia="標楷體"/>
        </w:rPr>
        <w:t>5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6</w:t>
      </w:r>
      <w:r>
        <w:rPr>
          <w:rStyle w:val="Style14"/>
          <w:rFonts w:eastAsia="標楷體"/>
        </w:rPr>
        <w:t>日（三）下午四時前以團體報名方式將報名表及審核表以連絡箱（</w:t>
      </w:r>
      <w:r>
        <w:rPr>
          <w:rStyle w:val="Style14"/>
          <w:rFonts w:eastAsia="標楷體"/>
        </w:rPr>
        <w:t>030</w:t>
      </w:r>
      <w:r>
        <w:rPr>
          <w:rStyle w:val="Style14"/>
          <w:rFonts w:eastAsia="標楷體"/>
        </w:rPr>
        <w:t>）</w:t>
      </w:r>
      <w:r>
        <w:rPr>
          <w:rStyle w:val="Style14"/>
          <w:rFonts w:eastAsia="標楷體"/>
          <w:b/>
        </w:rPr>
        <w:t>寄回中山國小特教組</w:t>
      </w:r>
      <w:r>
        <w:rPr>
          <w:rStyle w:val="Style14"/>
          <w:rFonts w:eastAsia="標楷體"/>
        </w:rPr>
        <w:t>，初階錄取名單將於</w:t>
      </w:r>
      <w:r>
        <w:rPr>
          <w:rStyle w:val="Style14"/>
          <w:rFonts w:eastAsia="標楷體"/>
        </w:rPr>
        <w:t>5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11</w:t>
      </w:r>
      <w:r>
        <w:rPr>
          <w:rStyle w:val="Style14"/>
          <w:rFonts w:eastAsia="標楷體"/>
        </w:rPr>
        <w:t>日公佈。實施計畫及報名表、錄取名單可至本校網站「最新消息」下載。</w:t>
      </w:r>
    </w:p>
    <w:p>
      <w:pPr>
        <w:pStyle w:val="Style18"/>
        <w:numPr>
          <w:ilvl w:val="0"/>
          <w:numId w:val="13"/>
        </w:numPr>
        <w:tabs>
          <w:tab w:val="clear" w:pos="480"/>
          <w:tab w:val="left" w:pos="284" w:leader="none"/>
          <w:tab w:val="left" w:pos="480" w:leader="none"/>
        </w:tabs>
        <w:spacing w:lineRule="exact" w:line="280"/>
        <w:ind w:left="482" w:hanging="482"/>
        <w:rPr/>
      </w:pPr>
      <w:r>
        <w:rPr>
          <w:rStyle w:val="Style14"/>
          <w:rFonts w:eastAsia="標楷體"/>
        </w:rPr>
        <w:t>聯絡人：中山國小資優班 江美惠老師（</w:t>
      </w:r>
      <w:r>
        <w:rPr>
          <w:rStyle w:val="Style14"/>
          <w:rFonts w:eastAsia="標楷體"/>
        </w:rPr>
        <w:t>TEL</w:t>
      </w:r>
      <w:r>
        <w:rPr>
          <w:rStyle w:val="Style14"/>
          <w:rFonts w:eastAsia="標楷體"/>
        </w:rPr>
        <w:t>：</w:t>
      </w:r>
      <w:r>
        <w:rPr>
          <w:rStyle w:val="Style14"/>
          <w:rFonts w:eastAsia="標楷體"/>
        </w:rPr>
        <w:t>25914085</w:t>
      </w:r>
      <w:r>
        <w:rPr>
          <w:rStyle w:val="Style14"/>
          <w:rFonts w:eastAsia="標楷體"/>
        </w:rPr>
        <w:t>＃</w:t>
      </w:r>
      <w:r>
        <w:rPr>
          <w:rStyle w:val="Style14"/>
          <w:rFonts w:eastAsia="標楷體"/>
        </w:rPr>
        <w:t>8095</w:t>
      </w:r>
      <w:r>
        <w:rPr>
          <w:rStyle w:val="Style14"/>
          <w:rFonts w:eastAsia="標楷體"/>
        </w:rPr>
        <w:t>）</w:t>
      </w:r>
      <w:r>
        <w:br w:type="page"/>
      </w:r>
    </w:p>
    <w:p>
      <w:pPr>
        <w:pStyle w:val="Style18"/>
        <w:snapToGrid w:val="false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附件三</w:t>
      </w:r>
    </w:p>
    <w:p>
      <w:pPr>
        <w:pStyle w:val="Style18"/>
        <w:snapToGrid w:val="false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「</w:t>
      </w:r>
      <w:r>
        <w:rPr>
          <w:rFonts w:eastAsia="標楷體"/>
          <w:sz w:val="32"/>
          <w:szCs w:val="32"/>
        </w:rPr>
        <w:t>CPS</w:t>
      </w:r>
      <w:r>
        <w:rPr>
          <w:rFonts w:eastAsia="標楷體"/>
          <w:sz w:val="32"/>
          <w:szCs w:val="32"/>
        </w:rPr>
        <w:t>創意列車（初階）</w:t>
      </w:r>
      <w:r>
        <w:rPr>
          <w:rFonts w:eastAsia="標楷體"/>
          <w:sz w:val="32"/>
          <w:szCs w:val="32"/>
        </w:rPr>
        <w:t>~</w:t>
      </w:r>
      <w:r>
        <w:rPr>
          <w:rFonts w:eastAsia="標楷體"/>
          <w:sz w:val="32"/>
          <w:szCs w:val="32"/>
        </w:rPr>
        <w:t>玩具進化論」審核表</w:t>
      </w:r>
    </w:p>
    <w:p>
      <w:pPr>
        <w:pStyle w:val="Style18"/>
        <w:snapToGrid w:val="false"/>
        <w:jc w:val="both"/>
        <w:rPr>
          <w:rFonts w:eastAsia="標楷體"/>
        </w:rPr>
      </w:pPr>
      <w:r>
        <w:rPr>
          <w:rFonts w:eastAsia="標楷體"/>
        </w:rPr>
        <w:t>打★處由承辦學校填寫</w:t>
      </w:r>
    </w:p>
    <w:tbl>
      <w:tblPr>
        <w:tblW w:w="96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8"/>
        <w:gridCol w:w="1200"/>
        <w:gridCol w:w="1426"/>
      </w:tblGrid>
      <w:tr>
        <w:trPr>
          <w:trHeight w:val="991" w:hRule="atLeast"/>
        </w:trPr>
        <w:tc>
          <w:tcPr>
            <w:tcW w:w="7068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snapToGrid w:val="false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審核欄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請報名者本人親自仔細填寫下列問題，空間不敷使用，可自行加頁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napToGrid w:val="false"/>
              <w:ind w:left="-881" w:right="-2" w:firstLine="754"/>
              <w:jc w:val="center"/>
              <w:rPr/>
            </w:pPr>
            <w:r>
              <w:rPr>
                <w:rStyle w:val="Style14"/>
                <w:rFonts w:eastAsia="標楷體"/>
              </w:rPr>
              <w:t>★□</w:t>
            </w:r>
            <w:r>
              <w:rPr>
                <w:rStyle w:val="Style14"/>
                <w:rFonts w:eastAsia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napToGrid w:val="false"/>
              <w:ind w:left="-881" w:right="-2" w:firstLine="754"/>
              <w:jc w:val="center"/>
              <w:rPr/>
            </w:pPr>
            <w:r>
              <w:rPr>
                <w:rStyle w:val="Style14"/>
                <w:rFonts w:eastAsia="標楷體"/>
              </w:rPr>
              <w:t>★□</w:t>
            </w:r>
            <w:r>
              <w:rPr>
                <w:rStyle w:val="Style14"/>
                <w:rFonts w:eastAsia="標楷體"/>
              </w:rPr>
              <w:t>不符合</w:t>
            </w:r>
          </w:p>
        </w:tc>
      </w:tr>
      <w:tr>
        <w:trPr>
          <w:trHeight w:val="2292" w:hRule="atLeast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FFFFFF" w:val="clear"/>
          </w:tcPr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一、什麼原因使你想要參加本課程？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參加本活動的動機，這跟創意無關哦…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>
        <w:trPr>
          <w:trHeight w:val="6948" w:hRule="atLeast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FFFFFF" w:val="clear"/>
          </w:tcPr>
          <w:p>
            <w:pPr>
              <w:pStyle w:val="Style18"/>
              <w:snapToGrid w:val="false"/>
              <w:spacing w:lineRule="auto" w:line="36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二、請善用自己的專長，以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「進化論」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為題，在下方空白處創作（可以文章、圖畫、歌曲…等畫面呈現，若空間不夠，可在背面繼續創作）。</w:t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1348" w:hRule="atLeast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FFFFFF" w:val="clear"/>
          </w:tcPr>
          <w:p>
            <w:pPr>
              <w:pStyle w:val="Style18"/>
              <w:snapToGrid w:val="false"/>
              <w:spacing w:lineRule="auto" w:line="360"/>
              <w:jc w:val="both"/>
              <w:rPr/>
            </w:pPr>
            <w:r>
              <w:rPr>
                <w:rStyle w:val="Style14"/>
                <w:rFonts w:eastAsia="標楷體"/>
                <w:sz w:val="28"/>
                <w:szCs w:val="28"/>
              </w:rPr>
              <w:t>三、在本課程中，我會帶</w:t>
            </w:r>
            <w:r>
              <w:rPr>
                <w:rStyle w:val="Style14"/>
                <w:rFonts w:eastAsia="標楷體"/>
                <w:sz w:val="28"/>
                <w:szCs w:val="28"/>
                <w:u w:val="wave"/>
              </w:rPr>
              <w:t>一種以上</w:t>
            </w:r>
            <w:r>
              <w:rPr>
                <w:rStyle w:val="Style14"/>
                <w:rFonts w:eastAsia="標楷體"/>
                <w:sz w:val="28"/>
                <w:szCs w:val="28"/>
              </w:rPr>
              <w:t>的廢棄玩具</w:t>
            </w:r>
            <w:r>
              <w:rPr>
                <w:rStyle w:val="Style14"/>
                <w:rFonts w:eastAsia="標楷體"/>
                <w:sz w:val="22"/>
                <w:szCs w:val="28"/>
              </w:rPr>
              <w:t>（長</w:t>
            </w:r>
            <w:r>
              <w:rPr>
                <w:rStyle w:val="Style14"/>
                <w:rFonts w:eastAsia="標楷體"/>
                <w:sz w:val="22"/>
                <w:szCs w:val="28"/>
              </w:rPr>
              <w:t>.</w:t>
            </w:r>
            <w:r>
              <w:rPr>
                <w:rStyle w:val="Style14"/>
                <w:rFonts w:eastAsia="標楷體"/>
                <w:sz w:val="22"/>
                <w:szCs w:val="28"/>
              </w:rPr>
              <w:t>寬</w:t>
            </w:r>
            <w:r>
              <w:rPr>
                <w:rStyle w:val="Style14"/>
                <w:rFonts w:eastAsia="標楷體"/>
                <w:sz w:val="22"/>
                <w:szCs w:val="28"/>
              </w:rPr>
              <w:t>.</w:t>
            </w:r>
            <w:r>
              <w:rPr>
                <w:rStyle w:val="Style14"/>
                <w:rFonts w:eastAsia="標楷體"/>
                <w:sz w:val="22"/>
                <w:szCs w:val="28"/>
              </w:rPr>
              <w:t>高皆小於</w:t>
            </w:r>
            <w:r>
              <w:rPr>
                <w:rStyle w:val="Style14"/>
                <w:rFonts w:eastAsia="標楷體"/>
                <w:sz w:val="22"/>
                <w:szCs w:val="28"/>
              </w:rPr>
              <w:t>15cm</w:t>
            </w:r>
            <w:r>
              <w:rPr>
                <w:rStyle w:val="Style14"/>
                <w:rFonts w:eastAsia="標楷體"/>
                <w:sz w:val="22"/>
                <w:szCs w:val="28"/>
              </w:rPr>
              <w:t>）</w:t>
            </w:r>
            <w:r>
              <w:rPr>
                <w:rStyle w:val="Style14"/>
                <w:rFonts w:eastAsia="標楷體"/>
                <w:sz w:val="28"/>
                <w:szCs w:val="28"/>
              </w:rPr>
              <w:t>來進行課程，我即將帶來的是：</w:t>
            </w:r>
          </w:p>
          <w:p>
            <w:pPr>
              <w:pStyle w:val="Style18"/>
              <w:snapToGrid w:val="false"/>
              <w:spacing w:lineRule="auto" w:line="3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  <w:p>
            <w:pPr>
              <w:pStyle w:val="Style18"/>
              <w:snapToGrid w:val="false"/>
              <w:spacing w:lineRule="auto" w:line="360"/>
              <w:jc w:val="right"/>
              <w:rPr/>
            </w:pPr>
            <w:r>
              <w:rPr>
                <w:rStyle w:val="Style14"/>
                <w:rFonts w:eastAsia="標楷體"/>
                <w:sz w:val="20"/>
                <w:szCs w:val="28"/>
              </w:rPr>
              <w:t>（請務必事先徵求家長同意）</w:t>
            </w:r>
          </w:p>
        </w:tc>
      </w:tr>
    </w:tbl>
    <w:p>
      <w:pPr>
        <w:pStyle w:val="Style18"/>
        <w:spacing w:lineRule="exact" w:line="240"/>
        <w:rPr/>
      </w:pPr>
      <w:r>
        <w:rPr/>
      </w:r>
    </w:p>
    <w:sectPr>
      <w:type w:val="continuous"/>
      <w:pgSz w:w="11906" w:h="16838"/>
      <w:pgMar w:left="851" w:right="851" w:header="0" w:top="709" w:footer="0" w:bottom="709" w:gutter="0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新細明體">
    <w:charset w:val="88"/>
    <w:family w:val="roman"/>
    <w:pitch w:val="variable"/>
  </w:font>
  <w:font w:name="Book Antiqua">
    <w:charset w:val="88"/>
    <w:family w:val="roman"/>
    <w:pitch w:val="variable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第%1章"/>
      <w:lvlJc w:val="left"/>
      <w:pPr>
        <w:tabs>
          <w:tab w:val="num" w:pos="0"/>
        </w:tabs>
        <w:ind w:left="840" w:hanging="840"/>
      </w:pPr>
      <w:rPr>
        <w:smallCaps w:val="false"/>
        <w:caps w:val="false"/>
        <w:dstrike w:val="false"/>
        <w:strike w:val="false"/>
        <w:vertAlign w:val="baseline"/>
        <w:position w:val="0"/>
        <w:sz w:val="40"/>
        <w:sz w:val="40"/>
        <w:i w:val="false"/>
        <w:u w:val="none"/>
        <w:b w:val="false"/>
        <w:szCs w:val="40"/>
        <w:em w:val="none"/>
        <w:vanish w:val="false"/>
        <w:rFonts w:ascii="標楷體" w:hAnsi="標楷體" w:eastAsia="標楷體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decimalEnclosedCircle"/>
      <w:lvlText w:val="%3."/>
      <w:lvlJc w:val="left"/>
      <w:pPr>
        <w:tabs>
          <w:tab w:val="num" w:pos="0"/>
        </w:tabs>
        <w:ind w:left="13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em w:val="none"/>
        <w:vanish w:val="false"/>
        <w:color w:val="auto"/>
      </w:rPr>
    </w:lvl>
    <w:lvl w:ilvl="3">
      <w:start w:val="1"/>
      <w:numFmt w:val="decimal"/>
      <w:lvlText w:val="第%4節"/>
      <w:lvlJc w:val="left"/>
      <w:pPr>
        <w:tabs>
          <w:tab w:val="num" w:pos="0"/>
        </w:tabs>
        <w:ind w:left="840" w:hanging="840"/>
      </w:pPr>
      <w:rPr>
        <w:smallCaps w:val="false"/>
        <w:caps w:val="false"/>
        <w:dstrike w:val="false"/>
        <w:strike w:val="false"/>
        <w:vertAlign w:val="baseline"/>
        <w:position w:val="0"/>
        <w:sz w:val="40"/>
        <w:sz w:val="40"/>
        <w:i w:val="false"/>
        <w:u w:val="none"/>
        <w:b w:val="false"/>
        <w:szCs w:val="40"/>
        <w:em w:val="none"/>
        <w:vanish w:val="false"/>
        <w:rFonts w:ascii="標楷體" w:hAnsi="標楷體" w:eastAsia="標楷體"/>
        <w:color w:val="auto"/>
      </w:rPr>
    </w:lvl>
    <w:lvl w:ilvl="4">
      <w:start w:val="1"/>
      <w:numFmt w:val="decimal"/>
      <w:lvlText w:val="%5、"/>
      <w:lvlJc w:val="left"/>
      <w:pPr>
        <w:tabs>
          <w:tab w:val="num" w:pos="0"/>
        </w:tabs>
        <w:ind w:left="22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em w:val="none"/>
        <w:vanish w:val="false"/>
        <w:rFonts w:cs="Times New Roman"/>
        <w:color w:val="auto"/>
      </w:rPr>
    </w:lvl>
    <w:lvl w:ilvl="5">
      <w:start w:val="1"/>
      <w:numFmt w:val="decimal"/>
      <w:lvlText w:val="%6、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decimal"/>
      <w:lvlText w:val="%1、"/>
      <w:lvlJc w:val="left"/>
      <w:pPr>
        <w:tabs>
          <w:tab w:val="num" w:pos="0"/>
        </w:tabs>
        <w:ind w:left="1078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1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7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5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3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78" w:hanging="480"/>
      </w:pPr>
    </w:lvl>
  </w:abstractNum>
  <w:abstractNum w:abstractNumId="4">
    <w:lvl w:ilvl="0">
      <w:start w:val="1"/>
      <w:numFmt w:val="decimal"/>
      <w:lvlText w:val="%1、"/>
      <w:lvlJc w:val="left"/>
      <w:pPr>
        <w:tabs>
          <w:tab w:val="num" w:pos="0"/>
        </w:tabs>
        <w:ind w:left="801" w:hanging="465"/>
      </w:pPr>
      <w:rPr>
        <w:sz w:val="24"/>
        <w:b w:val="false"/>
        <w:szCs w:val="24"/>
        <w:rFonts w:ascii="標楷體" w:hAnsi="標楷體" w:eastAsia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9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5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3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1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9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7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56" w:hanging="4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lvl w:ilvl="0">
      <w:start w:val="1"/>
      <w:numFmt w:val="decimal"/>
      <w:lvlText w:val="（%1）"/>
      <w:lvlJc w:val="left"/>
      <w:pPr>
        <w:tabs>
          <w:tab w:val="num" w:pos="0"/>
        </w:tabs>
        <w:ind w:left="855" w:hanging="855"/>
      </w:pPr>
    </w:lvl>
    <w:lvl w:ilvl="1">
      <w:start w:val="1"/>
      <w:numFmt w:val="bullet"/>
      <w:lvlText w:val="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bullet"/>
      <w:lvlText w:val="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bullet"/>
      <w:lvlText w:val="□"/>
      <w:lvlJc w:val="left"/>
      <w:pPr>
        <w:tabs>
          <w:tab w:val="num" w:pos="0"/>
        </w:tabs>
        <w:ind w:left="1800" w:hanging="360"/>
      </w:pPr>
      <w:rPr>
        <w:rFonts w:ascii="標楷體" w:hAnsi="標楷體" w:cs="標楷體" w:hint="default"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bullet"/>
      <w:lvlText w:val="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>
    <w:lvl w:ilvl="0">
      <w:start w:val="1"/>
      <w:numFmt w:val="bullet"/>
      <w:lvlText w:val="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□"/>
      <w:lvlJc w:val="left"/>
      <w:pPr>
        <w:tabs>
          <w:tab w:val="num" w:pos="0"/>
        </w:tabs>
        <w:ind w:left="1320" w:hanging="360"/>
      </w:pPr>
      <w:rPr>
        <w:rFonts w:ascii="標楷體" w:hAnsi="標楷體" w:cs="標楷體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3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strike w:val="false"/>
      <w:dstrike w:val="false"/>
      <w:color w:val="0000FF"/>
      <w:u w:val="none"/>
    </w:rPr>
  </w:style>
  <w:style w:type="character" w:styleId="Style16">
    <w:name w:val="頁首 字元"/>
    <w:qFormat/>
    <w:rPr>
      <w:kern w:val="2"/>
    </w:rPr>
  </w:style>
  <w:style w:type="character" w:styleId="Style17">
    <w:name w:val="頁尾 字元"/>
    <w:qFormat/>
    <w:rPr>
      <w:kern w:val="2"/>
    </w:rPr>
  </w:style>
  <w:style w:type="character" w:styleId="WWCharLFO1LVL1">
    <w:name w:val="WW_CharLFO1LVL1"/>
    <w:qFormat/>
    <w:rPr>
      <w:rFonts w:ascii="標楷體" w:hAnsi="標楷體" w:eastAsia="標楷體"/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40"/>
      <w:sz w:val="40"/>
      <w:szCs w:val="40"/>
      <w:u w:val="none"/>
      <w:vertAlign w:val="baseline"/>
      <w:em w:val="none"/>
    </w:rPr>
  </w:style>
  <w:style w:type="character" w:styleId="WWCharLFO1LVL3">
    <w:name w:val="WW_CharLFO1LVL3"/>
    <w:qFormat/>
    <w:rPr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:em w:val="none"/>
    </w:rPr>
  </w:style>
  <w:style w:type="character" w:styleId="WWCharLFO1LVL4">
    <w:name w:val="WW_CharLFO1LVL4"/>
    <w:qFormat/>
    <w:rPr>
      <w:rFonts w:ascii="標楷體" w:hAnsi="標楷體" w:eastAsia="標楷體"/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40"/>
      <w:sz w:val="40"/>
      <w:szCs w:val="40"/>
      <w:u w:val="none"/>
      <w:vertAlign w:val="baseline"/>
      <w:em w:val="none"/>
    </w:rPr>
  </w:style>
  <w:style w:type="character" w:styleId="WWCharLFO1LVL5">
    <w:name w:val="WW_CharLFO1LVL5"/>
    <w:qFormat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28"/>
      <w:sz w:val="28"/>
      <w:szCs w:val="28"/>
      <w:u w:val="none"/>
      <w:vertAlign w:val="baseline"/>
      <w:em w:val="none"/>
    </w:rPr>
  </w:style>
  <w:style w:type="character" w:styleId="WWCharLFO8LVL1">
    <w:name w:val="WW_CharLFO8LVL1"/>
    <w:qFormat/>
    <w:rPr>
      <w:rFonts w:ascii="Wingdings" w:hAnsi="Wingdings"/>
    </w:rPr>
  </w:style>
  <w:style w:type="character" w:styleId="WWCharLFO8LVL2">
    <w:name w:val="WW_CharLFO8LVL2"/>
    <w:qFormat/>
    <w:rPr>
      <w:rFonts w:ascii="Wingdings" w:hAnsi="Wingdings"/>
    </w:rPr>
  </w:style>
  <w:style w:type="character" w:styleId="WWCharLFO8LVL3">
    <w:name w:val="WW_CharLFO8LVL3"/>
    <w:qFormat/>
    <w:rPr>
      <w:rFonts w:ascii="標楷體" w:hAnsi="標楷體" w:eastAsia="標楷體" w:cs="Times New Roman"/>
    </w:rPr>
  </w:style>
  <w:style w:type="character" w:styleId="WWCharLFO8LVL4">
    <w:name w:val="WW_CharLFO8LVL4"/>
    <w:qFormat/>
    <w:rPr>
      <w:rFonts w:ascii="Wingdings" w:hAnsi="Wingdings"/>
    </w:rPr>
  </w:style>
  <w:style w:type="character" w:styleId="WWCharLFO8LVL5">
    <w:name w:val="WW_CharLFO8LVL5"/>
    <w:qFormat/>
    <w:rPr>
      <w:rFonts w:ascii="Wingdings" w:hAnsi="Wingdings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Wingdings" w:hAnsi="Wingdings"/>
    </w:rPr>
  </w:style>
  <w:style w:type="character" w:styleId="WWCharLFO8LVL8">
    <w:name w:val="WW_CharLFO8LVL8"/>
    <w:qFormat/>
    <w:rPr>
      <w:rFonts w:ascii="Wingdings" w:hAnsi="Wingdings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color w:val="auto"/>
    </w:rPr>
  </w:style>
  <w:style w:type="character" w:styleId="WWCharLFO9LVL2">
    <w:name w:val="WW_CharLFO9LVL2"/>
    <w:qFormat/>
    <w:rPr>
      <w:rFonts w:ascii="Wingdings" w:hAnsi="Wingdings"/>
    </w:rPr>
  </w:style>
  <w:style w:type="character" w:styleId="WWCharLFO10LVL1">
    <w:name w:val="WW_CharLFO10LVL1"/>
    <w:qFormat/>
    <w:rPr>
      <w:rFonts w:ascii="標楷體" w:hAnsi="標楷體" w:eastAsia="標楷體" w:cs="Times New Roman"/>
      <w:sz w:val="32"/>
    </w:rPr>
  </w:style>
  <w:style w:type="character" w:styleId="WWCharLFO10LVL2">
    <w:name w:val="WW_CharLFO10LVL2"/>
    <w:qFormat/>
    <w:rPr>
      <w:rFonts w:ascii="Wingdings" w:hAnsi="Wingdings"/>
    </w:rPr>
  </w:style>
  <w:style w:type="character" w:styleId="WWCharLFO10LVL3">
    <w:name w:val="WW_CharLFO10LVL3"/>
    <w:qFormat/>
    <w:rPr>
      <w:rFonts w:ascii="Wingdings" w:hAnsi="Wingdings"/>
    </w:rPr>
  </w:style>
  <w:style w:type="character" w:styleId="WWCharLFO10LVL4">
    <w:name w:val="WW_CharLFO10LVL4"/>
    <w:qFormat/>
    <w:rPr>
      <w:rFonts w:ascii="Wingdings" w:hAnsi="Wingdings"/>
    </w:rPr>
  </w:style>
  <w:style w:type="character" w:styleId="WWCharLFO10LVL5">
    <w:name w:val="WW_CharLFO10LVL5"/>
    <w:qFormat/>
    <w:rPr>
      <w:rFonts w:ascii="Wingdings" w:hAnsi="Wingdings"/>
    </w:rPr>
  </w:style>
  <w:style w:type="character" w:styleId="WWCharLFO10LVL6">
    <w:name w:val="WW_CharLFO10LVL6"/>
    <w:qFormat/>
    <w:rPr>
      <w:rFonts w:ascii="Wingdings" w:hAnsi="Wingdings"/>
    </w:rPr>
  </w:style>
  <w:style w:type="character" w:styleId="WWCharLFO10LVL7">
    <w:name w:val="WW_CharLFO10LVL7"/>
    <w:qFormat/>
    <w:rPr>
      <w:rFonts w:ascii="Wingdings" w:hAnsi="Wingdings"/>
    </w:rPr>
  </w:style>
  <w:style w:type="character" w:styleId="WWCharLFO10LVL8">
    <w:name w:val="WW_CharLFO10LVL8"/>
    <w:qFormat/>
    <w:rPr>
      <w:rFonts w:ascii="Wingdings" w:hAnsi="Wingdings"/>
    </w:rPr>
  </w:style>
  <w:style w:type="character" w:styleId="WWCharLFO10LVL9">
    <w:name w:val="WW_CharLFO10LVL9"/>
    <w:qFormat/>
    <w:rPr>
      <w:rFonts w:ascii="Wingdings" w:hAnsi="Wingdings"/>
    </w:rPr>
  </w:style>
  <w:style w:type="character" w:styleId="WWCharLFO11LVL1">
    <w:name w:val="WW_CharLFO11LVL1"/>
    <w:qFormat/>
    <w:rPr>
      <w:rFonts w:ascii="新細明體" w:hAnsi="新細明體" w:eastAsia="新細明體" w:cs="Times New Roman"/>
    </w:rPr>
  </w:style>
  <w:style w:type="character" w:styleId="WWCharLFO11LVL2">
    <w:name w:val="WW_CharLFO11LVL2"/>
    <w:qFormat/>
    <w:rPr>
      <w:rFonts w:ascii="Wingdings" w:hAnsi="Wingdings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Wingdings" w:hAnsi="Wingdings"/>
    </w:rPr>
  </w:style>
  <w:style w:type="character" w:styleId="WWCharLFO11LVL5">
    <w:name w:val="WW_CharLFO11LVL5"/>
    <w:qFormat/>
    <w:rPr>
      <w:rFonts w:ascii="Wingdings" w:hAnsi="Wingdings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Wingdings" w:hAnsi="Wingdings"/>
    </w:rPr>
  </w:style>
  <w:style w:type="character" w:styleId="WWCharLFO11LVL8">
    <w:name w:val="WW_CharLFO11LVL8"/>
    <w:qFormat/>
    <w:rPr>
      <w:rFonts w:ascii="Wingdings" w:hAnsi="Wingdings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Wingdings" w:hAnsi="Wingdings"/>
    </w:rPr>
  </w:style>
  <w:style w:type="character" w:styleId="WWCharLFO17LVL2">
    <w:name w:val="WW_CharLFO17LVL2"/>
    <w:qFormat/>
    <w:rPr>
      <w:rFonts w:ascii="Wingdings" w:hAnsi="Wingdings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Wingdings" w:hAnsi="Wingdings"/>
    </w:rPr>
  </w:style>
  <w:style w:type="character" w:styleId="WWCharLFO17LVL5">
    <w:name w:val="WW_CharLFO17LVL5"/>
    <w:qFormat/>
    <w:rPr>
      <w:rFonts w:ascii="Wingdings" w:hAnsi="Wingdings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Wingdings" w:hAnsi="Wingdings"/>
    </w:rPr>
  </w:style>
  <w:style w:type="character" w:styleId="WWCharLFO17LVL8">
    <w:name w:val="WW_CharLFO17LVL8"/>
    <w:qFormat/>
    <w:rPr>
      <w:rFonts w:ascii="Wingdings" w:hAnsi="Wingdings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 w:eastAsia="新細明體" w:cs="新細明體"/>
    </w:rPr>
  </w:style>
  <w:style w:type="character" w:styleId="WWCharLFO19LVL2">
    <w:name w:val="WW_CharLFO19LVL2"/>
    <w:qFormat/>
    <w:rPr>
      <w:rFonts w:ascii="Wingdings" w:hAnsi="Wingdings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Wingdings" w:hAnsi="Wingdings"/>
    </w:rPr>
  </w:style>
  <w:style w:type="character" w:styleId="WWCharLFO19LVL5">
    <w:name w:val="WW_CharLFO19LVL5"/>
    <w:qFormat/>
    <w:rPr>
      <w:rFonts w:ascii="Wingdings" w:hAnsi="Wingdings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Wingdings" w:hAnsi="Wingdings"/>
    </w:rPr>
  </w:style>
  <w:style w:type="character" w:styleId="WWCharLFO19LVL8">
    <w:name w:val="WW_CharLFO19LVL8"/>
    <w:qFormat/>
    <w:rPr>
      <w:rFonts w:ascii="Wingdings" w:hAnsi="Wingdings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2">
    <w:name w:val="WW_CharLFO20LVL2"/>
    <w:qFormat/>
    <w:rPr>
      <w:rFonts w:ascii="Wingdings" w:hAnsi="Wingdings"/>
    </w:rPr>
  </w:style>
  <w:style w:type="character" w:styleId="WWCharLFO22LVL1">
    <w:name w:val="WW_CharLFO22LVL1"/>
    <w:qFormat/>
    <w:rPr>
      <w:rFonts w:ascii="Wingdings" w:hAnsi="Wingdings"/>
    </w:rPr>
  </w:style>
  <w:style w:type="character" w:styleId="WWCharLFO22LVL2">
    <w:name w:val="WW_CharLFO22LVL2"/>
    <w:qFormat/>
    <w:rPr>
      <w:rFonts w:ascii="Wingdings" w:hAnsi="Wingdings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Wingdings" w:hAnsi="Wingdings"/>
    </w:rPr>
  </w:style>
  <w:style w:type="character" w:styleId="WWCharLFO22LVL5">
    <w:name w:val="WW_CharLFO22LVL5"/>
    <w:qFormat/>
    <w:rPr>
      <w:rFonts w:ascii="Wingdings" w:hAnsi="Wingdings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Wingdings" w:hAnsi="Wingdings"/>
    </w:rPr>
  </w:style>
  <w:style w:type="character" w:styleId="WWCharLFO22LVL8">
    <w:name w:val="WW_CharLFO22LVL8"/>
    <w:qFormat/>
    <w:rPr>
      <w:rFonts w:ascii="Wingdings" w:hAnsi="Wingdings"/>
    </w:rPr>
  </w:style>
  <w:style w:type="character" w:styleId="WWCharLFO22LVL9">
    <w:name w:val="WW_CharLFO22LVL9"/>
    <w:qFormat/>
    <w:rPr>
      <w:rFonts w:ascii="Wingdings" w:hAnsi="Wingdings"/>
    </w:rPr>
  </w:style>
  <w:style w:type="character" w:styleId="WWCharLFO23LVL1">
    <w:name w:val="WW_CharLFO23LVL1"/>
    <w:qFormat/>
    <w:rPr>
      <w:rFonts w:ascii="Wingdings" w:hAnsi="Wingdings"/>
    </w:rPr>
  </w:style>
  <w:style w:type="character" w:styleId="WWCharLFO23LVL2">
    <w:name w:val="WW_CharLFO23LVL2"/>
    <w:qFormat/>
    <w:rPr>
      <w:rFonts w:ascii="Wingdings" w:hAnsi="Wingdings"/>
    </w:rPr>
  </w:style>
  <w:style w:type="character" w:styleId="WWCharLFO23LVL3">
    <w:name w:val="WW_CharLFO23LVL3"/>
    <w:qFormat/>
    <w:rPr>
      <w:rFonts w:ascii="Wingdings" w:hAnsi="Wingdings"/>
    </w:rPr>
  </w:style>
  <w:style w:type="character" w:styleId="WWCharLFO23LVL4">
    <w:name w:val="WW_CharLFO23LVL4"/>
    <w:qFormat/>
    <w:rPr>
      <w:rFonts w:ascii="Wingdings" w:hAnsi="Wingdings"/>
    </w:rPr>
  </w:style>
  <w:style w:type="character" w:styleId="WWCharLFO23LVL5">
    <w:name w:val="WW_CharLFO23LVL5"/>
    <w:qFormat/>
    <w:rPr>
      <w:rFonts w:ascii="Wingdings" w:hAnsi="Wingdings"/>
    </w:rPr>
  </w:style>
  <w:style w:type="character" w:styleId="WWCharLFO23LVL6">
    <w:name w:val="WW_CharLFO23LVL6"/>
    <w:qFormat/>
    <w:rPr>
      <w:rFonts w:ascii="Wingdings" w:hAnsi="Wingdings"/>
    </w:rPr>
  </w:style>
  <w:style w:type="character" w:styleId="WWCharLFO23LVL7">
    <w:name w:val="WW_CharLFO23LVL7"/>
    <w:qFormat/>
    <w:rPr>
      <w:rFonts w:ascii="Wingdings" w:hAnsi="Wingdings"/>
    </w:rPr>
  </w:style>
  <w:style w:type="character" w:styleId="WWCharLFO23LVL8">
    <w:name w:val="WW_CharLFO23LVL8"/>
    <w:qFormat/>
    <w:rPr>
      <w:rFonts w:ascii="Wingdings" w:hAnsi="Wingdings"/>
    </w:rPr>
  </w:style>
  <w:style w:type="character" w:styleId="WWCharLFO23LVL9">
    <w:name w:val="WW_CharLFO23LVL9"/>
    <w:qFormat/>
    <w:rPr>
      <w:rFonts w:ascii="Wingdings" w:hAnsi="Wingdings"/>
    </w:rPr>
  </w:style>
  <w:style w:type="character" w:styleId="WWCharLFO25LVL1">
    <w:name w:val="WW_CharLFO25LVL1"/>
    <w:qFormat/>
    <w:rPr>
      <w:rFonts w:ascii="Wingdings" w:hAnsi="Wingdings"/>
    </w:rPr>
  </w:style>
  <w:style w:type="character" w:styleId="WWCharLFO25LVL2">
    <w:name w:val="WW_CharLFO25LVL2"/>
    <w:qFormat/>
    <w:rPr>
      <w:rFonts w:ascii="Wingdings" w:hAnsi="Wingdings"/>
    </w:rPr>
  </w:style>
  <w:style w:type="character" w:styleId="WWCharLFO25LVL3">
    <w:name w:val="WW_CharLFO25LVL3"/>
    <w:qFormat/>
    <w:rPr>
      <w:rFonts w:ascii="Wingdings" w:hAnsi="Wingdings"/>
    </w:rPr>
  </w:style>
  <w:style w:type="character" w:styleId="WWCharLFO25LVL4">
    <w:name w:val="WW_CharLFO25LVL4"/>
    <w:qFormat/>
    <w:rPr>
      <w:rFonts w:ascii="Wingdings" w:hAnsi="Wingdings"/>
    </w:rPr>
  </w:style>
  <w:style w:type="character" w:styleId="WWCharLFO25LVL5">
    <w:name w:val="WW_CharLFO25LVL5"/>
    <w:qFormat/>
    <w:rPr>
      <w:rFonts w:ascii="Wingdings" w:hAnsi="Wingdings"/>
    </w:rPr>
  </w:style>
  <w:style w:type="character" w:styleId="WWCharLFO25LVL6">
    <w:name w:val="WW_CharLFO25LVL6"/>
    <w:qFormat/>
    <w:rPr>
      <w:rFonts w:ascii="Wingdings" w:hAnsi="Wingdings"/>
    </w:rPr>
  </w:style>
  <w:style w:type="character" w:styleId="WWCharLFO25LVL7">
    <w:name w:val="WW_CharLFO25LVL7"/>
    <w:qFormat/>
    <w:rPr>
      <w:rFonts w:ascii="Wingdings" w:hAnsi="Wingdings"/>
    </w:rPr>
  </w:style>
  <w:style w:type="character" w:styleId="WWCharLFO25LVL8">
    <w:name w:val="WW_CharLFO25LVL8"/>
    <w:qFormat/>
    <w:rPr>
      <w:rFonts w:ascii="Wingdings" w:hAnsi="Wingdings"/>
    </w:rPr>
  </w:style>
  <w:style w:type="character" w:styleId="WWCharLFO25LVL9">
    <w:name w:val="WW_CharLFO25LVL9"/>
    <w:qFormat/>
    <w:rPr>
      <w:rFonts w:ascii="Wingdings" w:hAnsi="Wingdings"/>
    </w:rPr>
  </w:style>
  <w:style w:type="character" w:styleId="WWCharLFO26LVL1">
    <w:name w:val="WW_CharLFO26LVL1"/>
    <w:qFormat/>
    <w:rPr>
      <w:rFonts w:ascii="Wingdings" w:hAnsi="Wingdings"/>
    </w:rPr>
  </w:style>
  <w:style w:type="character" w:styleId="WWCharLFO26LVL2">
    <w:name w:val="WW_CharLFO26LVL2"/>
    <w:qFormat/>
    <w:rPr>
      <w:rFonts w:ascii="Wingdings" w:hAnsi="Wingdings"/>
    </w:rPr>
  </w:style>
  <w:style w:type="character" w:styleId="WWCharLFO26LVL3">
    <w:name w:val="WW_CharLFO26LVL3"/>
    <w:qFormat/>
    <w:rPr>
      <w:rFonts w:ascii="Wingdings" w:hAnsi="Wingdings"/>
    </w:rPr>
  </w:style>
  <w:style w:type="character" w:styleId="WWCharLFO26LVL4">
    <w:name w:val="WW_CharLFO26LVL4"/>
    <w:qFormat/>
    <w:rPr>
      <w:rFonts w:ascii="Wingdings" w:hAnsi="Wingdings"/>
    </w:rPr>
  </w:style>
  <w:style w:type="character" w:styleId="WWCharLFO26LVL5">
    <w:name w:val="WW_CharLFO26LVL5"/>
    <w:qFormat/>
    <w:rPr>
      <w:rFonts w:ascii="Wingdings" w:hAnsi="Wingdings"/>
    </w:rPr>
  </w:style>
  <w:style w:type="character" w:styleId="WWCharLFO26LVL6">
    <w:name w:val="WW_CharLFO26LVL6"/>
    <w:qFormat/>
    <w:rPr>
      <w:rFonts w:ascii="Wingdings" w:hAnsi="Wingdings"/>
    </w:rPr>
  </w:style>
  <w:style w:type="character" w:styleId="WWCharLFO26LVL7">
    <w:name w:val="WW_CharLFO26LVL7"/>
    <w:qFormat/>
    <w:rPr>
      <w:rFonts w:ascii="Wingdings" w:hAnsi="Wingdings"/>
    </w:rPr>
  </w:style>
  <w:style w:type="character" w:styleId="WWCharLFO26LVL8">
    <w:name w:val="WW_CharLFO26LVL8"/>
    <w:qFormat/>
    <w:rPr>
      <w:rFonts w:ascii="Wingdings" w:hAnsi="Wingdings"/>
    </w:rPr>
  </w:style>
  <w:style w:type="character" w:styleId="WWCharLFO26LVL9">
    <w:name w:val="WW_CharLFO26LVL9"/>
    <w:qFormat/>
    <w:rPr>
      <w:rFonts w:ascii="Wingdings" w:hAnsi="Wingdings"/>
    </w:rPr>
  </w:style>
  <w:style w:type="character" w:styleId="WWCharLFO27LVL1">
    <w:name w:val="WW_CharLFO27LVL1"/>
    <w:qFormat/>
    <w:rPr>
      <w:rFonts w:ascii="Symbol" w:hAnsi="Symbol" w:eastAsia="新細明體" w:cs="新細明體"/>
    </w:rPr>
  </w:style>
  <w:style w:type="character" w:styleId="WWCharLFO27LVL2">
    <w:name w:val="WW_CharLFO27LVL2"/>
    <w:qFormat/>
    <w:rPr>
      <w:rFonts w:ascii="Wingdings" w:hAnsi="Wingdings"/>
    </w:rPr>
  </w:style>
  <w:style w:type="character" w:styleId="WWCharLFO27LVL3">
    <w:name w:val="WW_CharLFO27LVL3"/>
    <w:qFormat/>
    <w:rPr>
      <w:rFonts w:ascii="Wingdings" w:hAnsi="Wingdings"/>
    </w:rPr>
  </w:style>
  <w:style w:type="character" w:styleId="WWCharLFO27LVL4">
    <w:name w:val="WW_CharLFO27LVL4"/>
    <w:qFormat/>
    <w:rPr>
      <w:rFonts w:ascii="Wingdings" w:hAnsi="Wingdings"/>
    </w:rPr>
  </w:style>
  <w:style w:type="character" w:styleId="WWCharLFO27LVL5">
    <w:name w:val="WW_CharLFO27LVL5"/>
    <w:qFormat/>
    <w:rPr>
      <w:rFonts w:ascii="Wingdings" w:hAnsi="Wingdings"/>
    </w:rPr>
  </w:style>
  <w:style w:type="character" w:styleId="WWCharLFO27LVL6">
    <w:name w:val="WW_CharLFO27LVL6"/>
    <w:qFormat/>
    <w:rPr>
      <w:rFonts w:ascii="Wingdings" w:hAnsi="Wingdings"/>
    </w:rPr>
  </w:style>
  <w:style w:type="character" w:styleId="WWCharLFO27LVL7">
    <w:name w:val="WW_CharLFO27LVL7"/>
    <w:qFormat/>
    <w:rPr>
      <w:rFonts w:ascii="Wingdings" w:hAnsi="Wingdings"/>
    </w:rPr>
  </w:style>
  <w:style w:type="character" w:styleId="WWCharLFO27LVL8">
    <w:name w:val="WW_CharLFO27LVL8"/>
    <w:qFormat/>
    <w:rPr>
      <w:rFonts w:ascii="Wingdings" w:hAnsi="Wingdings"/>
    </w:rPr>
  </w:style>
  <w:style w:type="character" w:styleId="WWCharLFO27LVL9">
    <w:name w:val="WW_CharLFO27LVL9"/>
    <w:qFormat/>
    <w:rPr>
      <w:rFonts w:ascii="Wingdings" w:hAnsi="Wingdings"/>
    </w:rPr>
  </w:style>
  <w:style w:type="character" w:styleId="WWCharLFO28LVL1">
    <w:name w:val="WW_CharLFO28LVL1"/>
    <w:qFormat/>
    <w:rPr>
      <w:rFonts w:ascii="Symbol" w:hAnsi="Symbol" w:eastAsia="新細明體" w:cs="新細明體"/>
    </w:rPr>
  </w:style>
  <w:style w:type="character" w:styleId="WWCharLFO28LVL2">
    <w:name w:val="WW_CharLFO28LVL2"/>
    <w:qFormat/>
    <w:rPr>
      <w:rFonts w:ascii="Wingdings" w:hAnsi="Wingdings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Wingdings" w:hAnsi="Wingdings"/>
    </w:rPr>
  </w:style>
  <w:style w:type="character" w:styleId="WWCharLFO28LVL5">
    <w:name w:val="WW_CharLFO28LVL5"/>
    <w:qFormat/>
    <w:rPr>
      <w:rFonts w:ascii="Wingdings" w:hAnsi="Wingdings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Wingdings" w:hAnsi="Wingdings"/>
    </w:rPr>
  </w:style>
  <w:style w:type="character" w:styleId="WWCharLFO28LVL8">
    <w:name w:val="WW_CharLFO28LVL8"/>
    <w:qFormat/>
    <w:rPr>
      <w:rFonts w:ascii="Wingdings" w:hAnsi="Wingdings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 w:eastAsia="新細明體" w:cs="新細明體"/>
    </w:rPr>
  </w:style>
  <w:style w:type="character" w:styleId="WWCharLFO29LVL2">
    <w:name w:val="WW_CharLFO29LVL2"/>
    <w:qFormat/>
    <w:rPr>
      <w:rFonts w:ascii="Wingdings" w:hAnsi="Wingdings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Wingdings" w:hAnsi="Wingdings"/>
    </w:rPr>
  </w:style>
  <w:style w:type="character" w:styleId="WWCharLFO29LVL5">
    <w:name w:val="WW_CharLFO29LVL5"/>
    <w:qFormat/>
    <w:rPr>
      <w:rFonts w:ascii="Wingdings" w:hAnsi="Wingdings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Wingdings" w:hAnsi="Wingdings"/>
    </w:rPr>
  </w:style>
  <w:style w:type="character" w:styleId="WWCharLFO29LVL8">
    <w:name w:val="WW_CharLFO29LVL8"/>
    <w:qFormat/>
    <w:rPr>
      <w:rFonts w:ascii="Wingdings" w:hAnsi="Wingdings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WWCharLFO30LVL1">
    <w:name w:val="WW_CharLFO30LVL1"/>
    <w:qFormat/>
    <w:rPr>
      <w:rFonts w:ascii="Wingdings" w:hAnsi="Wingdings"/>
    </w:rPr>
  </w:style>
  <w:style w:type="character" w:styleId="WWCharLFO30LVL2">
    <w:name w:val="WW_CharLFO30LVL2"/>
    <w:qFormat/>
    <w:rPr>
      <w:rFonts w:ascii="Wingdings" w:hAnsi="Wingdings"/>
    </w:rPr>
  </w:style>
  <w:style w:type="character" w:styleId="WWCharLFO30LVL3">
    <w:name w:val="WW_CharLFO30LVL3"/>
    <w:qFormat/>
    <w:rPr>
      <w:rFonts w:ascii="Wingdings" w:hAnsi="Wingdings"/>
    </w:rPr>
  </w:style>
  <w:style w:type="character" w:styleId="WWCharLFO30LVL4">
    <w:name w:val="WW_CharLFO30LVL4"/>
    <w:qFormat/>
    <w:rPr>
      <w:rFonts w:ascii="Wingdings" w:hAnsi="Wingdings"/>
    </w:rPr>
  </w:style>
  <w:style w:type="character" w:styleId="WWCharLFO30LVL5">
    <w:name w:val="WW_CharLFO30LVL5"/>
    <w:qFormat/>
    <w:rPr>
      <w:rFonts w:ascii="Wingdings" w:hAnsi="Wingdings"/>
    </w:rPr>
  </w:style>
  <w:style w:type="character" w:styleId="WWCharLFO30LVL6">
    <w:name w:val="WW_CharLFO30LVL6"/>
    <w:qFormat/>
    <w:rPr>
      <w:rFonts w:ascii="Wingdings" w:hAnsi="Wingdings"/>
    </w:rPr>
  </w:style>
  <w:style w:type="character" w:styleId="WWCharLFO30LVL7">
    <w:name w:val="WW_CharLFO30LVL7"/>
    <w:qFormat/>
    <w:rPr>
      <w:rFonts w:ascii="Wingdings" w:hAnsi="Wingdings"/>
    </w:rPr>
  </w:style>
  <w:style w:type="character" w:styleId="WWCharLFO30LVL8">
    <w:name w:val="WW_CharLFO30LVL8"/>
    <w:qFormat/>
    <w:rPr>
      <w:rFonts w:ascii="Wingdings" w:hAnsi="Wingdings"/>
    </w:rPr>
  </w:style>
  <w:style w:type="character" w:styleId="WWCharLFO30LVL9">
    <w:name w:val="WW_CharLFO30LVL9"/>
    <w:qFormat/>
    <w:rPr>
      <w:rFonts w:ascii="Wingdings" w:hAnsi="Wingdings"/>
    </w:rPr>
  </w:style>
  <w:style w:type="character" w:styleId="WWCharLFO34LVL1">
    <w:name w:val="WW_CharLFO34LVL1"/>
    <w:qFormat/>
    <w:rPr>
      <w:rFonts w:ascii="標楷體" w:hAnsi="標楷體" w:eastAsia="標楷體" w:cs="Times New Roman"/>
    </w:rPr>
  </w:style>
  <w:style w:type="character" w:styleId="WWCharLFO34LVL2">
    <w:name w:val="WW_CharLFO34LVL2"/>
    <w:qFormat/>
    <w:rPr>
      <w:rFonts w:ascii="Wingdings" w:hAnsi="Wingdings"/>
    </w:rPr>
  </w:style>
  <w:style w:type="character" w:styleId="WWCharLFO34LVL3">
    <w:name w:val="WW_CharLFO34LVL3"/>
    <w:qFormat/>
    <w:rPr>
      <w:rFonts w:ascii="Wingdings" w:hAnsi="Wingdings"/>
    </w:rPr>
  </w:style>
  <w:style w:type="character" w:styleId="WWCharLFO34LVL4">
    <w:name w:val="WW_CharLFO34LVL4"/>
    <w:qFormat/>
    <w:rPr>
      <w:rFonts w:ascii="Wingdings" w:hAnsi="Wingdings"/>
    </w:rPr>
  </w:style>
  <w:style w:type="character" w:styleId="WWCharLFO34LVL5">
    <w:name w:val="WW_CharLFO34LVL5"/>
    <w:qFormat/>
    <w:rPr>
      <w:rFonts w:ascii="Wingdings" w:hAnsi="Wingdings"/>
    </w:rPr>
  </w:style>
  <w:style w:type="character" w:styleId="WWCharLFO34LVL6">
    <w:name w:val="WW_CharLFO34LVL6"/>
    <w:qFormat/>
    <w:rPr>
      <w:rFonts w:ascii="Wingdings" w:hAnsi="Wingdings"/>
    </w:rPr>
  </w:style>
  <w:style w:type="character" w:styleId="WWCharLFO34LVL7">
    <w:name w:val="WW_CharLFO34LVL7"/>
    <w:qFormat/>
    <w:rPr>
      <w:rFonts w:ascii="Wingdings" w:hAnsi="Wingdings"/>
    </w:rPr>
  </w:style>
  <w:style w:type="character" w:styleId="WWCharLFO34LVL8">
    <w:name w:val="WW_CharLFO34LVL8"/>
    <w:qFormat/>
    <w:rPr>
      <w:rFonts w:ascii="Wingdings" w:hAnsi="Wingdings"/>
    </w:rPr>
  </w:style>
  <w:style w:type="character" w:styleId="WWCharLFO34LVL9">
    <w:name w:val="WW_CharLFO34LVL9"/>
    <w:qFormat/>
    <w:rPr>
      <w:rFonts w:ascii="Wingdings" w:hAnsi="Wingdings"/>
    </w:rPr>
  </w:style>
  <w:style w:type="character" w:styleId="WWCharLFO36LVL1">
    <w:name w:val="WW_CharLFO36LVL1"/>
    <w:qFormat/>
    <w:rPr>
      <w:rFonts w:ascii="Wingdings" w:hAnsi="Wingdings"/>
    </w:rPr>
  </w:style>
  <w:style w:type="character" w:styleId="WWCharLFO36LVL2">
    <w:name w:val="WW_CharLFO36LVL2"/>
    <w:qFormat/>
    <w:rPr>
      <w:rFonts w:ascii="Wingdings" w:hAnsi="Wingdings"/>
    </w:rPr>
  </w:style>
  <w:style w:type="character" w:styleId="WWCharLFO36LVL3">
    <w:name w:val="WW_CharLFO36LVL3"/>
    <w:qFormat/>
    <w:rPr>
      <w:rFonts w:ascii="Wingdings" w:hAnsi="Wingdings"/>
    </w:rPr>
  </w:style>
  <w:style w:type="character" w:styleId="WWCharLFO36LVL4">
    <w:name w:val="WW_CharLFO36LVL4"/>
    <w:qFormat/>
    <w:rPr>
      <w:rFonts w:ascii="Wingdings" w:hAnsi="Wingdings"/>
    </w:rPr>
  </w:style>
  <w:style w:type="character" w:styleId="WWCharLFO36LVL5">
    <w:name w:val="WW_CharLFO36LVL5"/>
    <w:qFormat/>
    <w:rPr>
      <w:rFonts w:ascii="Wingdings" w:hAnsi="Wingdings"/>
    </w:rPr>
  </w:style>
  <w:style w:type="character" w:styleId="WWCharLFO36LVL6">
    <w:name w:val="WW_CharLFO36LVL6"/>
    <w:qFormat/>
    <w:rPr>
      <w:rFonts w:ascii="Wingdings" w:hAnsi="Wingdings"/>
    </w:rPr>
  </w:style>
  <w:style w:type="character" w:styleId="WWCharLFO36LVL7">
    <w:name w:val="WW_CharLFO36LVL7"/>
    <w:qFormat/>
    <w:rPr>
      <w:rFonts w:ascii="Wingdings" w:hAnsi="Wingdings"/>
    </w:rPr>
  </w:style>
  <w:style w:type="character" w:styleId="WWCharLFO36LVL8">
    <w:name w:val="WW_CharLFO36LVL8"/>
    <w:qFormat/>
    <w:rPr>
      <w:rFonts w:ascii="Wingdings" w:hAnsi="Wingdings"/>
    </w:rPr>
  </w:style>
  <w:style w:type="character" w:styleId="WWCharLFO36LVL9">
    <w:name w:val="WW_CharLFO36LVL9"/>
    <w:qFormat/>
    <w:rPr>
      <w:rFonts w:ascii="Wingdings" w:hAnsi="Wingdings"/>
    </w:rPr>
  </w:style>
  <w:style w:type="character" w:styleId="WWCharLFO38LVL2">
    <w:name w:val="WW_CharLFO38LVL2"/>
    <w:qFormat/>
    <w:rPr>
      <w:rFonts w:ascii="Wingdings" w:hAnsi="Wingdings"/>
    </w:rPr>
  </w:style>
  <w:style w:type="character" w:styleId="WWCharLFO38LVL4">
    <w:name w:val="WW_CharLFO38LVL4"/>
    <w:qFormat/>
    <w:rPr>
      <w:rFonts w:ascii="標楷體" w:hAnsi="標楷體" w:eastAsia="標楷體" w:cs="Times New Roman"/>
      <w:sz w:val="22"/>
    </w:rPr>
  </w:style>
  <w:style w:type="character" w:styleId="WWCharLFO39LVL2">
    <w:name w:val="WW_CharLFO39LVL2"/>
    <w:qFormat/>
    <w:rPr>
      <w:rFonts w:ascii="Wingdings" w:hAnsi="Wingdings"/>
    </w:rPr>
  </w:style>
  <w:style w:type="character" w:styleId="WWCharLFO39LVL3">
    <w:name w:val="WW_CharLFO39LVL3"/>
    <w:qFormat/>
    <w:rPr>
      <w:rFonts w:ascii="Wingdings" w:hAnsi="Wingdings"/>
    </w:rPr>
  </w:style>
  <w:style w:type="character" w:styleId="WWCharLFO40LVL1">
    <w:name w:val="WW_CharLFO40LVL1"/>
    <w:qFormat/>
    <w:rPr>
      <w:rFonts w:ascii="標楷體" w:hAnsi="標楷體" w:eastAsia="標楷體" w:cs="Times New Roman"/>
      <w:b w:val="false"/>
      <w:sz w:val="24"/>
      <w:szCs w:val="24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1">
    <w:name w:val="1"/>
    <w:basedOn w:val="Style18"/>
    <w:qFormat/>
    <w:pPr>
      <w:suppressAutoHyphens w:val="true"/>
      <w:spacing w:before="120" w:after="120"/>
      <w:jc w:val="center"/>
    </w:pPr>
    <w:rPr>
      <w:rFonts w:eastAsia="標楷體"/>
      <w:sz w:val="40"/>
    </w:rPr>
  </w:style>
  <w:style w:type="paragraph" w:styleId="44">
    <w:name w:val="44"/>
    <w:basedOn w:val="Style18"/>
    <w:qFormat/>
    <w:pPr>
      <w:tabs>
        <w:tab w:val="clear" w:pos="480"/>
      </w:tabs>
      <w:suppressAutoHyphens w:val="true"/>
      <w:spacing w:lineRule="exact" w:line="480"/>
      <w:ind w:left="478" w:right="238" w:hanging="0"/>
    </w:pPr>
    <w:rPr>
      <w:rFonts w:ascii="標楷體" w:hAnsi="標楷體" w:eastAsia="標楷體" w:cs="新細明體"/>
      <w:sz w:val="28"/>
      <w:szCs w:val="20"/>
    </w:rPr>
  </w:style>
  <w:style w:type="paragraph" w:styleId="4">
    <w:name w:val="4"/>
    <w:basedOn w:val="Style18"/>
    <w:qFormat/>
    <w:pPr>
      <w:tabs>
        <w:tab w:val="clear" w:pos="480"/>
      </w:tabs>
      <w:suppressAutoHyphens w:val="true"/>
      <w:spacing w:lineRule="exact" w:line="480"/>
      <w:ind w:left="240" w:hanging="0"/>
    </w:pPr>
    <w:rPr>
      <w:rFonts w:ascii="標楷體" w:hAnsi="標楷體" w:eastAsia="標楷體"/>
      <w:sz w:val="28"/>
      <w:szCs w:val="28"/>
    </w:rPr>
  </w:style>
  <w:style w:type="paragraph" w:styleId="5">
    <w:name w:val="5"/>
    <w:basedOn w:val="Style18"/>
    <w:qFormat/>
    <w:pPr>
      <w:tabs>
        <w:tab w:val="clear" w:pos="480"/>
        <w:tab w:val="left" w:pos="994" w:leader="none"/>
      </w:tabs>
      <w:suppressAutoHyphens w:val="true"/>
      <w:autoSpaceDE w:val="false"/>
      <w:spacing w:lineRule="exact" w:line="480"/>
      <w:ind w:left="480" w:hanging="0"/>
    </w:pPr>
    <w:rPr>
      <w:rFonts w:eastAsia="標楷體"/>
      <w:bCs/>
      <w:kern w:val="0"/>
      <w:szCs w:val="28"/>
    </w:rPr>
  </w:style>
  <w:style w:type="paragraph" w:styleId="0">
    <w:name w:val="0"/>
    <w:basedOn w:val="Style18"/>
    <w:qFormat/>
    <w:pPr>
      <w:tabs>
        <w:tab w:val="clear" w:pos="480"/>
      </w:tabs>
      <w:suppressAutoHyphens w:val="true"/>
      <w:autoSpaceDE w:val="false"/>
      <w:spacing w:lineRule="exact" w:line="480"/>
      <w:ind w:left="540" w:firstLine="540"/>
    </w:pPr>
    <w:rPr>
      <w:rFonts w:eastAsia="標楷體"/>
    </w:rPr>
  </w:style>
  <w:style w:type="paragraph" w:styleId="00">
    <w:name w:val="00"/>
    <w:basedOn w:val="Style18"/>
    <w:qFormat/>
    <w:pPr>
      <w:tabs>
        <w:tab w:val="clear" w:pos="480"/>
      </w:tabs>
      <w:suppressAutoHyphens w:val="true"/>
      <w:autoSpaceDE w:val="false"/>
      <w:spacing w:lineRule="exact" w:line="480"/>
      <w:ind w:left="540" w:firstLine="540"/>
      <w:jc w:val="both"/>
    </w:pPr>
    <w:rPr>
      <w:rFonts w:eastAsia="標楷體"/>
    </w:rPr>
  </w:style>
  <w:style w:type="paragraph" w:styleId="88">
    <w:name w:val="88"/>
    <w:basedOn w:val="Style18"/>
    <w:qFormat/>
    <w:pPr>
      <w:numPr>
        <w:ilvl w:val="0"/>
        <w:numId w:val="1"/>
      </w:numPr>
      <w:suppressAutoHyphens w:val="true"/>
      <w:autoSpaceDE w:val="false"/>
      <w:spacing w:lineRule="exact" w:line="480"/>
    </w:pPr>
    <w:rPr>
      <w:rFonts w:eastAsia="標楷體"/>
      <w:kern w:val="0"/>
    </w:rPr>
  </w:style>
  <w:style w:type="paragraph" w:styleId="Style19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清單段落"/>
    <w:basedOn w:val="Style18"/>
    <w:qFormat/>
    <w:pPr>
      <w:widowControl/>
      <w:tabs>
        <w:tab w:val="clear" w:pos="480"/>
      </w:tabs>
      <w:suppressAutoHyphens w:val="true"/>
      <w:ind w:left="480" w:hanging="0"/>
    </w:pPr>
    <w:rPr>
      <w:rFonts w:ascii="新細明體" w:hAnsi="新細明體" w:cs="新細明體"/>
      <w:kern w:val="0"/>
    </w:rPr>
  </w:style>
  <w:style w:type="paragraph" w:styleId="Style23">
    <w:name w:val="表格內容"/>
    <w:basedOn w:val="Normal"/>
    <w:qFormat/>
    <w:pPr>
      <w:widowControl w:val="false"/>
      <w:suppressLineNumbers/>
    </w:pPr>
    <w:rPr/>
  </w:style>
  <w:style w:type="paragraph" w:styleId="Style24">
    <w:name w:val="外框內容"/>
    <w:basedOn w:val="Normal"/>
    <w:qFormat/>
    <w:pPr/>
    <w:rPr/>
  </w:style>
  <w:style w:type="numbering" w:styleId="LFO1">
    <w:name w:val="LFO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NDC_ODF_Application_Tools_/3.3.3$Windows_X86_64 LibreOffice_project/1e1e6a7b6182699804c71e64ce03ac02dcaacc3f</Application>
  <AppVersion>15.0000</AppVersion>
  <Pages>9</Pages>
  <Words>3115</Words>
  <Characters>3361</Characters>
  <CharactersWithSpaces>3527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2026-04-20T07:51:00Z</dcterms:created>
  <dc:creator>teacher</dc:creator>
  <dc:description/>
  <dc:language>zh-TW</dc:language>
  <cp:lastModifiedBy>USER</cp:lastModifiedBy>
  <cp:lastPrinted>2013-05-09T02:01:00Z</cp:lastPrinted>
  <dcterms:modified xsi:type="dcterms:W3CDTF">2026-04-20T07:52:00Z</dcterms:modified>
  <cp:revision>4</cp:revision>
  <dc:subject/>
  <dc:title>臺北市九十七年度區域性資賦優異教育方案實施計劃</dc:title>
</cp:coreProperties>
</file>